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2616D" w14:textId="33F9766B" w:rsidR="00547F11" w:rsidRDefault="00547F11" w:rsidP="006B0306">
      <w:pPr>
        <w:pStyle w:val="Title"/>
        <w:jc w:val="both"/>
        <w:rPr>
          <w:rFonts w:cstheme="majorHAnsi"/>
          <w:szCs w:val="26"/>
        </w:rPr>
      </w:pPr>
      <w:r w:rsidRPr="000B2887">
        <w:rPr>
          <w:rFonts w:cstheme="majorHAnsi"/>
          <w:szCs w:val="26"/>
        </w:rPr>
        <w:t>BÀI PHÁT BIỂU GÓP Ý LUẬT AN TOÀN THỰC PHẨM SỬA ĐỔI</w:t>
      </w:r>
    </w:p>
    <w:p w14:paraId="0440C7C2" w14:textId="6CB8150D" w:rsidR="00C138E4" w:rsidRDefault="00C138E4" w:rsidP="00C138E4">
      <w:pPr>
        <w:rPr>
          <w:i/>
        </w:rPr>
      </w:pPr>
      <w:r w:rsidRPr="00C138E4">
        <w:rPr>
          <w:i/>
        </w:rPr>
        <w:t>Người trình bày: Trần Ngọc Ánh, đại diện doanh nghiệp thành viên của Hội Khoa học Kỹ thuật An toàn Thực phẩm (Vinafosa), thuộc Liên hiệp các hội khoa học kỹ thuật Việt Nam (VUSTA).</w:t>
      </w:r>
    </w:p>
    <w:p w14:paraId="6D0C78CC" w14:textId="5629CB93" w:rsidR="00C138E4" w:rsidRPr="00C138E4" w:rsidRDefault="00C138E4" w:rsidP="00C138E4">
      <w:pPr>
        <w:rPr>
          <w:i/>
        </w:rPr>
      </w:pPr>
      <w:r>
        <w:rPr>
          <w:i/>
        </w:rPr>
        <w:t xml:space="preserve">Tại </w:t>
      </w:r>
      <w:r w:rsidRPr="00C138E4">
        <w:rPr>
          <w:i/>
        </w:rPr>
        <w:t>Phiên họp toàn thể lần thứ 6 để thẩm tra dự án Luật An toàn thực phẩm (sửa đổ</w:t>
      </w:r>
      <w:r>
        <w:rPr>
          <w:i/>
        </w:rPr>
        <w:t>i) diễn ra vào c</w:t>
      </w:r>
      <w:r w:rsidRPr="00C138E4">
        <w:rPr>
          <w:i/>
        </w:rPr>
        <w:t>hiều 20/10</w:t>
      </w:r>
      <w:r>
        <w:rPr>
          <w:i/>
        </w:rPr>
        <w:t>/2026</w:t>
      </w:r>
      <w:r w:rsidRPr="00C138E4">
        <w:rPr>
          <w:i/>
        </w:rPr>
        <w:t xml:space="preserve">, tại Trụ sở các cơ quan của Quốc hội (22 Hùng Vương, Hà Nội), </w:t>
      </w:r>
      <w:r>
        <w:rPr>
          <w:i/>
        </w:rPr>
        <w:t xml:space="preserve">do </w:t>
      </w:r>
      <w:r w:rsidRPr="00C138E4">
        <w:rPr>
          <w:i/>
        </w:rPr>
        <w:t>Ủy ban Khoa học, Công nghệ và Môi trường tổ chức</w:t>
      </w:r>
      <w:r>
        <w:rPr>
          <w:i/>
        </w:rPr>
        <w:t>.</w:t>
      </w:r>
    </w:p>
    <w:p w14:paraId="0DA64550" w14:textId="2484998A" w:rsidR="00547F11" w:rsidRPr="000B2887" w:rsidRDefault="006B0306" w:rsidP="006B0306">
      <w:pPr>
        <w:spacing w:after="120"/>
        <w:jc w:val="both"/>
        <w:rPr>
          <w:rFonts w:asciiTheme="majorHAnsi" w:hAnsiTheme="majorHAnsi" w:cstheme="majorHAnsi"/>
          <w:sz w:val="26"/>
          <w:szCs w:val="26"/>
        </w:rPr>
      </w:pPr>
      <w:r w:rsidRPr="006B0306">
        <w:rPr>
          <w:rFonts w:asciiTheme="majorHAnsi" w:hAnsiTheme="majorHAnsi" w:cstheme="majorHAnsi"/>
          <w:sz w:val="26"/>
          <w:szCs w:val="26"/>
        </w:rPr>
        <w:t>VUSTA</w:t>
      </w:r>
      <w:r w:rsidR="00547F11" w:rsidRPr="000B2887">
        <w:rPr>
          <w:rFonts w:asciiTheme="majorHAnsi" w:hAnsiTheme="majorHAnsi" w:cstheme="majorHAnsi"/>
          <w:sz w:val="26"/>
          <w:szCs w:val="26"/>
        </w:rPr>
        <w:t xml:space="preserve"> ủng hộ việc sửa đổi Luật nhằm nâng cao hiệu quả quản lý và bảo vệ sức khỏe người dân. </w:t>
      </w:r>
      <w:r w:rsidR="00547F11" w:rsidRPr="000B2887">
        <w:rPr>
          <w:rFonts w:asciiTheme="majorHAnsi" w:hAnsiTheme="majorHAnsi" w:cstheme="majorHAnsi"/>
          <w:b/>
          <w:bCs/>
          <w:sz w:val="26"/>
          <w:szCs w:val="26"/>
        </w:rPr>
        <w:t>Thước đo hiệu quả phải là khả năng phòng ngừa, phát hiện và xử lý nguy cơ mất an toàn thực phẩm trên thực tế.</w:t>
      </w:r>
    </w:p>
    <w:p w14:paraId="1431B4B7" w14:textId="6D32D0C7" w:rsidR="00547F11" w:rsidRPr="00646A5C" w:rsidRDefault="00C138E4" w:rsidP="006B0306">
      <w:pPr>
        <w:spacing w:after="120"/>
        <w:jc w:val="both"/>
        <w:rPr>
          <w:rFonts w:asciiTheme="majorHAnsi" w:hAnsiTheme="majorHAnsi" w:cstheme="majorHAnsi"/>
          <w:sz w:val="26"/>
          <w:szCs w:val="26"/>
        </w:rPr>
      </w:pPr>
      <w:r>
        <w:rPr>
          <w:rFonts w:asciiTheme="majorHAnsi" w:hAnsiTheme="majorHAnsi" w:cstheme="majorHAnsi"/>
          <w:sz w:val="26"/>
          <w:szCs w:val="26"/>
        </w:rPr>
        <w:t>Tôi</w:t>
      </w:r>
      <w:r w:rsidR="00547F11" w:rsidRPr="000B2887">
        <w:rPr>
          <w:rFonts w:asciiTheme="majorHAnsi" w:hAnsiTheme="majorHAnsi" w:cstheme="majorHAnsi"/>
          <w:sz w:val="26"/>
          <w:szCs w:val="26"/>
        </w:rPr>
        <w:t xml:space="preserve"> xin trình bày </w:t>
      </w:r>
      <w:r w:rsidR="00547F11" w:rsidRPr="000B2887">
        <w:rPr>
          <w:rFonts w:asciiTheme="majorHAnsi" w:hAnsiTheme="majorHAnsi" w:cstheme="majorHAnsi"/>
          <w:b/>
          <w:bCs/>
          <w:sz w:val="26"/>
          <w:szCs w:val="26"/>
        </w:rPr>
        <w:t>9 nhóm vấn đề và kiến nghị</w:t>
      </w:r>
      <w:r w:rsidR="00646A5C" w:rsidRPr="00646A5C">
        <w:rPr>
          <w:rFonts w:asciiTheme="majorHAnsi" w:hAnsiTheme="majorHAnsi" w:cstheme="majorHAnsi"/>
          <w:sz w:val="26"/>
          <w:szCs w:val="26"/>
        </w:rPr>
        <w:t xml:space="preserve"> như sau: </w:t>
      </w:r>
    </w:p>
    <w:p w14:paraId="1AB50572" w14:textId="3966CC00" w:rsidR="009332C3" w:rsidRPr="000B2887" w:rsidRDefault="009332C3" w:rsidP="006B0306">
      <w:pPr>
        <w:pStyle w:val="Heading1"/>
        <w:jc w:val="both"/>
        <w:rPr>
          <w:rFonts w:cstheme="majorHAnsi"/>
          <w:szCs w:val="26"/>
        </w:rPr>
      </w:pPr>
      <w:r w:rsidRPr="000B2887">
        <w:rPr>
          <w:rFonts w:cstheme="majorHAnsi"/>
          <w:bCs/>
          <w:szCs w:val="26"/>
        </w:rPr>
        <w:t>1. Mở rộng đăng ký từ 4 lên 5 nhóm thực phẩm: nguy cơ gia tăng chi phí và quá tải thẩm định</w:t>
      </w:r>
    </w:p>
    <w:p w14:paraId="3B54110A" w14:textId="77777777" w:rsidR="009332C3" w:rsidRPr="000B2887" w:rsidRDefault="009332C3" w:rsidP="006B0306">
      <w:pPr>
        <w:pStyle w:val="Heading2"/>
        <w:jc w:val="both"/>
        <w:rPr>
          <w:rFonts w:cstheme="majorHAnsi"/>
          <w:szCs w:val="26"/>
        </w:rPr>
      </w:pPr>
      <w:r w:rsidRPr="000B2887">
        <w:rPr>
          <w:rFonts w:cstheme="majorHAnsi"/>
          <w:bCs/>
          <w:szCs w:val="26"/>
        </w:rPr>
        <w:t>Thứ nhất, phạm vi đăng ký mới chưa rõ ràng, có thể đưa thực phẩm thông thường vào diện tiền kiểm.</w:t>
      </w:r>
    </w:p>
    <w:p w14:paraId="231E8773" w14:textId="77777777" w:rsidR="009332C3" w:rsidRPr="000B2887" w:rsidRDefault="009332C3"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Nhóm “thực phẩm bổ sung có công bố khuyến cáo về sức khỏe” tại Phụ lục 1 dự thảo Luật chưa phân biệt rõ thông tin dinh dưỡng với khuyến cáo về sức khỏe. Nếu áp dụng rộng, sữa bổ sung canxi, sữa chua có lợi khuẩn hoặc ngũ cốc tăng cường vitamin có thể phải chuyển sang đăng ký, dù bản chất và mức độ nguy cơ không thay đổi.</w:t>
      </w:r>
    </w:p>
    <w:p w14:paraId="653EFFF2" w14:textId="77777777" w:rsidR="009332C3" w:rsidRPr="000B2887" w:rsidRDefault="009332C3"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chưa mở rộng ngoài 4 nhóm hiện hành khi chưa có căn cứ khoa học và đánh giá tác động đầy đủ. Làm rõ tiêu chí phân loại, lấy nguy cơ thực tế làm căn cứ lựa chọn biện pháp quản lý; tiếp tục tự công bố và hậu kiểm đối với thực phẩm thông thường có nguy cơ thấp.</w:t>
      </w:r>
    </w:p>
    <w:p w14:paraId="3CEDD775" w14:textId="77777777" w:rsidR="009332C3" w:rsidRPr="000B2887" w:rsidRDefault="009332C3" w:rsidP="006B0306">
      <w:pPr>
        <w:pStyle w:val="Heading2"/>
        <w:jc w:val="both"/>
        <w:rPr>
          <w:rFonts w:cstheme="majorHAnsi"/>
          <w:szCs w:val="26"/>
        </w:rPr>
      </w:pPr>
      <w:r w:rsidRPr="000B2887">
        <w:rPr>
          <w:rFonts w:cstheme="majorHAnsi"/>
          <w:bCs/>
          <w:szCs w:val="26"/>
        </w:rPr>
        <w:t>Thứ hai, lượng hồ sơ chuyển đổi có thể vượt năng lực thẩm định và làm tăng mạnh chi phí.</w:t>
      </w:r>
    </w:p>
    <w:p w14:paraId="0B6F769A" w14:textId="46C29C7E" w:rsidR="009332C3" w:rsidRPr="000B2887" w:rsidRDefault="009332C3" w:rsidP="006B0306">
      <w:pPr>
        <w:spacing w:after="120"/>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Với giả định 400.000 sản phẩm đang tự công bố còn lưu hành, nếu 25% thuộc nhóm thực phẩm bổ sung có công bố khuyến cáo về sức khỏe phải chuyển sang đăng ký thì phát sinh </w:t>
      </w:r>
      <w:r w:rsidRPr="000B2887">
        <w:rPr>
          <w:rFonts w:asciiTheme="majorHAnsi" w:hAnsiTheme="majorHAnsi" w:cstheme="majorHAnsi"/>
          <w:b/>
          <w:color w:val="000000"/>
          <w:sz w:val="26"/>
          <w:szCs w:val="26"/>
        </w:rPr>
        <w:t>100.000 hồ sơ</w:t>
      </w:r>
      <w:r w:rsidRPr="000B2887">
        <w:rPr>
          <w:rFonts w:asciiTheme="majorHAnsi" w:hAnsiTheme="majorHAnsi" w:cstheme="majorHAnsi"/>
          <w:color w:val="000000"/>
          <w:sz w:val="26"/>
          <w:szCs w:val="26"/>
        </w:rPr>
        <w:t xml:space="preserve">, tương đương khoảng </w:t>
      </w:r>
      <w:r w:rsidRPr="000B2887">
        <w:rPr>
          <w:rFonts w:asciiTheme="majorHAnsi" w:hAnsiTheme="majorHAnsi" w:cstheme="majorHAnsi"/>
          <w:b/>
          <w:color w:val="000000"/>
          <w:sz w:val="26"/>
          <w:szCs w:val="26"/>
        </w:rPr>
        <w:t>2.778 hồ sơ mỗi tháng trong 36 tháng</w:t>
      </w:r>
      <w:r w:rsidRPr="000B2887">
        <w:rPr>
          <w:rFonts w:asciiTheme="majorHAnsi" w:hAnsiTheme="majorHAnsi" w:cstheme="majorHAnsi"/>
          <w:color w:val="000000"/>
          <w:sz w:val="26"/>
          <w:szCs w:val="26"/>
        </w:rPr>
        <w:t xml:space="preserve">. </w:t>
      </w:r>
    </w:p>
    <w:p w14:paraId="4E25B648" w14:textId="77777777" w:rsidR="009332C3" w:rsidRPr="000B2887" w:rsidRDefault="009332C3"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Doanh nghiệp có thể phải bổ sung tài liệu, kiểm nghiệm và chờ cấp giấy, trong khi cơ quan quản lý phải xử lý đồng thời hồ sơ chuyển đổi và hồ sơ mới.</w:t>
      </w:r>
    </w:p>
    <w:p w14:paraId="4579BF6A" w14:textId="73A85165" w:rsidR="00376D72" w:rsidRPr="00A57571" w:rsidRDefault="009332C3"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lượng hóa số hồ sơ, chi phí và năng lực thẩm định trước khi mở rộng đăng ký. Kế thừa tối đa hồ sơ hợp pháp, chỉ yêu cầu bổ sung nội dung cần thiết; tránh buộc lập lại toàn bộ hồ sơ hoặc kiểm nghiệm lại khi không có căn cứ.</w:t>
      </w:r>
    </w:p>
    <w:p w14:paraId="23E691C4" w14:textId="79FDBE89" w:rsidR="00A57571" w:rsidRPr="00A57571" w:rsidRDefault="00A57571" w:rsidP="006B0306">
      <w:pPr>
        <w:spacing w:after="120"/>
        <w:jc w:val="both"/>
        <w:rPr>
          <w:rFonts w:asciiTheme="majorHAnsi" w:hAnsiTheme="majorHAnsi" w:cstheme="majorHAnsi"/>
          <w:b/>
          <w:bCs/>
          <w:sz w:val="26"/>
          <w:szCs w:val="26"/>
        </w:rPr>
      </w:pPr>
      <w:r w:rsidRPr="00A57571">
        <w:rPr>
          <w:rFonts w:asciiTheme="majorHAnsi" w:hAnsiTheme="majorHAnsi" w:cstheme="majorHAnsi"/>
          <w:b/>
          <w:bCs/>
          <w:sz w:val="26"/>
          <w:szCs w:val="26"/>
        </w:rPr>
        <w:t>2. Thủ tục cấp phép kéo dài làm tăng chi phí, gián đoạn chuỗi cung ứng và kìm hãm đổi mới sản phẩm</w:t>
      </w:r>
    </w:p>
    <w:p w14:paraId="53CAFE5E"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b/>
          <w:bCs/>
          <w:sz w:val="26"/>
          <w:szCs w:val="26"/>
        </w:rPr>
        <w:t>Thứ nhất, thời gian đăng ký có thể kéo dài gần một năm, gây bất ổn nghiêm trọng cho hoạt động sản xuất, kinh doanh.</w:t>
      </w:r>
    </w:p>
    <w:p w14:paraId="2D8D4965"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sz w:val="26"/>
          <w:szCs w:val="26"/>
        </w:rPr>
        <w:lastRenderedPageBreak/>
        <w:t>Theo Điều 45 dự thảo Nghị định, cơ quan tiếp nhận có tối đa 90 ngày thẩm định lần đầu. Mỗi vòng bổ sung hồ sơ có thể mất thêm 120 ngày, gồm 60 ngày doanh nghiệp hoàn thiện và 60 ngày cơ quan thẩm định; dự thảo cho phép tối đa hai vòng.</w:t>
      </w:r>
    </w:p>
    <w:p w14:paraId="20457B17"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sz w:val="26"/>
          <w:szCs w:val="26"/>
        </w:rPr>
        <w:t xml:space="preserve">Như vậy, tổng thời gian có thể lên tới </w:t>
      </w:r>
      <w:r w:rsidRPr="00A57571">
        <w:rPr>
          <w:rFonts w:asciiTheme="majorHAnsi" w:hAnsiTheme="majorHAnsi" w:cstheme="majorHAnsi"/>
          <w:b/>
          <w:bCs/>
          <w:sz w:val="26"/>
          <w:szCs w:val="26"/>
        </w:rPr>
        <w:t>330 ngày, tương đương khoảng 11 tháng</w:t>
      </w:r>
      <w:r w:rsidRPr="00A57571">
        <w:rPr>
          <w:rFonts w:asciiTheme="majorHAnsi" w:hAnsiTheme="majorHAnsi" w:cstheme="majorHAnsi"/>
          <w:sz w:val="26"/>
          <w:szCs w:val="26"/>
        </w:rPr>
        <w:t>, chưa tính thời gian chuẩn bị hồ sơ và chưa chắc được cấp phép. Đây là kịch bản sử dụng hết các thời hạn quy định.</w:t>
      </w:r>
    </w:p>
    <w:p w14:paraId="248FDB34"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sz w:val="26"/>
          <w:szCs w:val="26"/>
        </w:rPr>
        <w:t xml:space="preserve">Trong khi đó, doanh nghiệp phải lên kế hoạch nguyên liệu, bao bì, sản xuất và vận chuyển trước nhiều tháng. </w:t>
      </w:r>
      <w:r w:rsidRPr="00A57571">
        <w:rPr>
          <w:rFonts w:asciiTheme="majorHAnsi" w:hAnsiTheme="majorHAnsi" w:cstheme="majorHAnsi"/>
          <w:b/>
          <w:bCs/>
          <w:sz w:val="26"/>
          <w:szCs w:val="26"/>
        </w:rPr>
        <w:t>Thời gian cấp phép kéo dài và khó dự đoán khiến doanh nghiệp lỡ kế hoạch sản xuất, đơn hàng và cơ hội kinh doanh</w:t>
      </w:r>
      <w:r w:rsidRPr="00A57571">
        <w:rPr>
          <w:rFonts w:asciiTheme="majorHAnsi" w:hAnsiTheme="majorHAnsi" w:cstheme="majorHAnsi"/>
          <w:sz w:val="26"/>
          <w:szCs w:val="26"/>
        </w:rPr>
        <w:t>, thậm chí gây gián đoạn chuỗi cung ứng đối với sản phẩm đang lưu hành hợp pháp nhưng phải chuyển đổi thủ tục.</w:t>
      </w:r>
    </w:p>
    <w:p w14:paraId="3DD9160F"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b/>
          <w:bCs/>
          <w:sz w:val="26"/>
          <w:szCs w:val="26"/>
        </w:rPr>
        <w:t>Thứ hai, thời gian chờ đợi làm hao hụt hạn sử dụng, tăng chi phí và có thể khiến thực phẩm phải tiêu hủy dù vẫn bảo đảm an toàn.</w:t>
      </w:r>
    </w:p>
    <w:p w14:paraId="4C3011D1"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sz w:val="26"/>
          <w:szCs w:val="26"/>
        </w:rPr>
        <w:t xml:space="preserve">Đối với thực phẩm, thời gian chờ đợi trực tiếp làm giảm giá trị thương mại. Ví dụ, sản phẩm có hạn sử dụng 12 tháng, sau 2 tháng vận chuyển và 6 tháng chờ thủ tục, </w:t>
      </w:r>
      <w:r w:rsidRPr="00A57571">
        <w:rPr>
          <w:rFonts w:asciiTheme="majorHAnsi" w:hAnsiTheme="majorHAnsi" w:cstheme="majorHAnsi"/>
          <w:b/>
          <w:bCs/>
          <w:sz w:val="26"/>
          <w:szCs w:val="26"/>
        </w:rPr>
        <w:t>chỉ còn 4 tháng để tiêu thụ</w:t>
      </w:r>
      <w:r w:rsidRPr="00A57571">
        <w:rPr>
          <w:rFonts w:asciiTheme="majorHAnsi" w:hAnsiTheme="majorHAnsi" w:cstheme="majorHAnsi"/>
          <w:sz w:val="26"/>
          <w:szCs w:val="26"/>
        </w:rPr>
        <w:t>. Dù vẫn bảo đảm an toàn, hàng hóa có thể bị hệ thống phân phối từ chối, phải giảm giá sâu hoặc tiêu hủy.</w:t>
      </w:r>
    </w:p>
    <w:p w14:paraId="6B286CFE"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sz w:val="26"/>
          <w:szCs w:val="26"/>
        </w:rPr>
        <w:t xml:space="preserve">Trong khi đó, chi phí lưu kho, lưu bãi, bảo quản và vốn tồn đọng tiếp tục tăng, </w:t>
      </w:r>
      <w:r w:rsidRPr="00A57571">
        <w:rPr>
          <w:rFonts w:asciiTheme="majorHAnsi" w:hAnsiTheme="majorHAnsi" w:cstheme="majorHAnsi"/>
          <w:b/>
          <w:bCs/>
          <w:sz w:val="26"/>
          <w:szCs w:val="26"/>
        </w:rPr>
        <w:t>đẩy giá thành lên cao và làm giảm nguồn cung, lựa chọn của người tiêu dùng</w:t>
      </w:r>
      <w:r w:rsidRPr="00A57571">
        <w:rPr>
          <w:rFonts w:asciiTheme="majorHAnsi" w:hAnsiTheme="majorHAnsi" w:cstheme="majorHAnsi"/>
          <w:sz w:val="26"/>
          <w:szCs w:val="26"/>
        </w:rPr>
        <w:t>.</w:t>
      </w:r>
    </w:p>
    <w:p w14:paraId="08EA45F6"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b/>
          <w:bCs/>
          <w:sz w:val="26"/>
          <w:szCs w:val="26"/>
        </w:rPr>
        <w:t>Thứ ba, yêu cầu đăng ký lại quá rộng đẩy doanh nghiệp vào vòng xoáy xin phép liên tục, kìm hãm đổi mới và trói buộc nguồn lực sản xuất.</w:t>
      </w:r>
    </w:p>
    <w:p w14:paraId="1E8AA13F" w14:textId="77777777" w:rsidR="00A57571" w:rsidRPr="00A57571" w:rsidRDefault="00A57571" w:rsidP="006B0306">
      <w:pPr>
        <w:spacing w:after="120"/>
        <w:jc w:val="both"/>
        <w:rPr>
          <w:rFonts w:asciiTheme="majorHAnsi" w:hAnsiTheme="majorHAnsi" w:cstheme="majorHAnsi"/>
          <w:sz w:val="26"/>
          <w:szCs w:val="26"/>
        </w:rPr>
      </w:pPr>
      <w:r w:rsidRPr="00A57571">
        <w:rPr>
          <w:rFonts w:asciiTheme="majorHAnsi" w:hAnsiTheme="majorHAnsi" w:cstheme="majorHAnsi"/>
          <w:sz w:val="26"/>
          <w:szCs w:val="26"/>
        </w:rPr>
        <w:t xml:space="preserve">Ngành thực phẩm phải liên tục cải tiến công thức, hương vị, quy cách và bao bì để đáp ứng thị hiếu người tiêu dùng. Nếu những thay đổi thông thường cũng phải đăng ký lại, trong khi thủ tục có thể kéo dài nhiều tháng, </w:t>
      </w:r>
      <w:r w:rsidRPr="00A57571">
        <w:rPr>
          <w:rFonts w:asciiTheme="majorHAnsi" w:hAnsiTheme="majorHAnsi" w:cstheme="majorHAnsi"/>
          <w:b/>
          <w:bCs/>
          <w:sz w:val="26"/>
          <w:szCs w:val="26"/>
        </w:rPr>
        <w:t>doanh nghiệp vừa được cấp phép cho phiên bản này đã phải tiếp tục xin phép cho phiên bản tiếp theo</w:t>
      </w:r>
      <w:r w:rsidRPr="00A57571">
        <w:rPr>
          <w:rFonts w:asciiTheme="majorHAnsi" w:hAnsiTheme="majorHAnsi" w:cstheme="majorHAnsi"/>
          <w:sz w:val="26"/>
          <w:szCs w:val="26"/>
        </w:rPr>
        <w:t>.</w:t>
      </w:r>
    </w:p>
    <w:p w14:paraId="4758AE2D" w14:textId="77777777" w:rsidR="00A57571" w:rsidRPr="005552E9" w:rsidRDefault="00A57571" w:rsidP="006B0306">
      <w:pPr>
        <w:spacing w:after="120"/>
        <w:jc w:val="both"/>
        <w:rPr>
          <w:rFonts w:asciiTheme="majorHAnsi" w:hAnsiTheme="majorHAnsi" w:cstheme="majorHAnsi"/>
          <w:sz w:val="26"/>
          <w:szCs w:val="26"/>
        </w:rPr>
      </w:pPr>
      <w:r w:rsidRPr="005552E9">
        <w:rPr>
          <w:rFonts w:asciiTheme="majorHAnsi" w:hAnsiTheme="majorHAnsi" w:cstheme="majorHAnsi"/>
          <w:sz w:val="26"/>
          <w:szCs w:val="26"/>
        </w:rPr>
        <w:t>Doanh nghiệp nhập khẩu không thể chủ động thời điểm đặt hàng, sản xuất và đưa sản phẩm về Việt Nam. Doanh nghiệp trong nước cũng gặp khó khăn khi đã đầu tư nghiên cứu, chuẩn bị sản xuất nhưng không thể đưa sản phẩm ra thị trường đúng kế hoạch.</w:t>
      </w:r>
    </w:p>
    <w:p w14:paraId="301EC858" w14:textId="77777777" w:rsidR="00A57571" w:rsidRPr="005552E9" w:rsidRDefault="00A57571" w:rsidP="006B0306">
      <w:pPr>
        <w:spacing w:after="120"/>
        <w:jc w:val="both"/>
        <w:rPr>
          <w:rFonts w:asciiTheme="majorHAnsi" w:hAnsiTheme="majorHAnsi" w:cstheme="majorHAnsi"/>
          <w:sz w:val="26"/>
          <w:szCs w:val="26"/>
        </w:rPr>
      </w:pPr>
      <w:r w:rsidRPr="005552E9">
        <w:rPr>
          <w:rFonts w:asciiTheme="majorHAnsi" w:hAnsiTheme="majorHAnsi" w:cstheme="majorHAnsi"/>
          <w:b/>
          <w:bCs/>
          <w:sz w:val="26"/>
          <w:szCs w:val="26"/>
        </w:rPr>
        <w:t>Nguồn lực đáng lẽ dành cho đổi mới công nghệ, mở rộng sản xuất và tạo việc làm lại phải dành cho việc lập hồ sơ, kiểm nghiệm và chờ cấp phép. Đây là sự trói buộc doanh nghiệp bằng thủ tục hành chính, đi ngược mục tiêu cải cách và khai thông nguồn lực cho tăng trưởng.</w:t>
      </w:r>
    </w:p>
    <w:p w14:paraId="27F8A333" w14:textId="21A5757D" w:rsidR="00A57571" w:rsidRPr="005552E9" w:rsidRDefault="00A57571" w:rsidP="006B0306">
      <w:pPr>
        <w:spacing w:after="120"/>
        <w:jc w:val="both"/>
        <w:rPr>
          <w:rFonts w:asciiTheme="majorHAnsi" w:hAnsiTheme="majorHAnsi" w:cstheme="majorHAnsi"/>
          <w:b/>
          <w:bCs/>
          <w:sz w:val="26"/>
          <w:szCs w:val="26"/>
        </w:rPr>
      </w:pPr>
      <w:r w:rsidRPr="005552E9">
        <w:rPr>
          <w:rFonts w:asciiTheme="majorHAnsi" w:hAnsiTheme="majorHAnsi" w:cstheme="majorHAnsi"/>
          <w:b/>
          <w:bCs/>
          <w:sz w:val="26"/>
          <w:szCs w:val="26"/>
        </w:rPr>
        <w:t xml:space="preserve">Kiến nghị </w:t>
      </w:r>
    </w:p>
    <w:p w14:paraId="08999D18" w14:textId="1BB5349D" w:rsidR="00A57571" w:rsidRPr="005552E9" w:rsidRDefault="001A5115" w:rsidP="006B0306">
      <w:pPr>
        <w:spacing w:after="120"/>
        <w:jc w:val="both"/>
        <w:rPr>
          <w:rFonts w:asciiTheme="majorHAnsi" w:hAnsiTheme="majorHAnsi" w:cstheme="majorHAnsi"/>
          <w:sz w:val="26"/>
          <w:szCs w:val="26"/>
        </w:rPr>
      </w:pPr>
      <w:r>
        <w:rPr>
          <w:rFonts w:asciiTheme="majorHAnsi" w:hAnsiTheme="majorHAnsi" w:cstheme="majorHAnsi"/>
          <w:sz w:val="26"/>
          <w:szCs w:val="26"/>
        </w:rPr>
        <w:t>VUSTA</w:t>
      </w:r>
      <w:r w:rsidRPr="001A5115">
        <w:rPr>
          <w:rFonts w:asciiTheme="majorHAnsi" w:hAnsiTheme="majorHAnsi" w:cstheme="majorHAnsi"/>
          <w:sz w:val="26"/>
          <w:szCs w:val="26"/>
        </w:rPr>
        <w:t xml:space="preserve"> </w:t>
      </w:r>
      <w:r w:rsidR="00A57571" w:rsidRPr="005552E9">
        <w:rPr>
          <w:rFonts w:asciiTheme="majorHAnsi" w:hAnsiTheme="majorHAnsi" w:cstheme="majorHAnsi"/>
          <w:sz w:val="26"/>
          <w:szCs w:val="26"/>
        </w:rPr>
        <w:t xml:space="preserve">đề nghị </w:t>
      </w:r>
      <w:r w:rsidR="00A57571" w:rsidRPr="005552E9">
        <w:rPr>
          <w:rFonts w:asciiTheme="majorHAnsi" w:hAnsiTheme="majorHAnsi" w:cstheme="majorHAnsi"/>
          <w:b/>
          <w:bCs/>
          <w:sz w:val="26"/>
          <w:szCs w:val="26"/>
        </w:rPr>
        <w:t>rút ngắn thời gian thẩm định, quy định thời hạn tối đa cho toàn bộ quy trình cấp phép và trách nhiệm giải trình của cơ quan quản lý</w:t>
      </w:r>
      <w:r w:rsidR="00A57571" w:rsidRPr="005552E9">
        <w:rPr>
          <w:rFonts w:asciiTheme="majorHAnsi" w:hAnsiTheme="majorHAnsi" w:cstheme="majorHAnsi"/>
          <w:sz w:val="26"/>
          <w:szCs w:val="26"/>
        </w:rPr>
        <w:t>; các yêu cầu bổ sung hồ sơ phải được tổng hợp đầy đủ, tránh kéo dài qua nhiều vòng.</w:t>
      </w:r>
    </w:p>
    <w:p w14:paraId="082C52BA" w14:textId="77777777" w:rsidR="00A57571" w:rsidRPr="005552E9" w:rsidRDefault="00A57571" w:rsidP="006B0306">
      <w:pPr>
        <w:spacing w:after="120"/>
        <w:jc w:val="both"/>
        <w:rPr>
          <w:rFonts w:asciiTheme="majorHAnsi" w:hAnsiTheme="majorHAnsi" w:cstheme="majorHAnsi"/>
          <w:sz w:val="26"/>
          <w:szCs w:val="26"/>
        </w:rPr>
      </w:pPr>
      <w:r w:rsidRPr="005552E9">
        <w:rPr>
          <w:rFonts w:asciiTheme="majorHAnsi" w:hAnsiTheme="majorHAnsi" w:cstheme="majorHAnsi"/>
          <w:b/>
          <w:bCs/>
          <w:sz w:val="26"/>
          <w:szCs w:val="26"/>
        </w:rPr>
        <w:t>Chỉ yêu cầu đăng ký lại đối với những thay đổi trọng yếu ảnh hưởng đến an toàn thực phẩm, công dụng hoặc đối tượng sử dụng</w:t>
      </w:r>
      <w:r w:rsidRPr="005552E9">
        <w:rPr>
          <w:rFonts w:asciiTheme="majorHAnsi" w:hAnsiTheme="majorHAnsi" w:cstheme="majorHAnsi"/>
          <w:sz w:val="26"/>
          <w:szCs w:val="26"/>
        </w:rPr>
        <w:t>; cho phép thông báo, cập nhật hồ sơ đối với các cải tiến thông thường, kết hợp hậu kiểm dựa trên nguy cơ.</w:t>
      </w:r>
    </w:p>
    <w:p w14:paraId="276E551B" w14:textId="77777777" w:rsidR="00A57571" w:rsidRPr="005552E9" w:rsidRDefault="00A57571" w:rsidP="006B0306">
      <w:pPr>
        <w:spacing w:after="120"/>
        <w:jc w:val="both"/>
        <w:rPr>
          <w:rFonts w:asciiTheme="majorHAnsi" w:hAnsiTheme="majorHAnsi" w:cstheme="majorHAnsi"/>
          <w:sz w:val="26"/>
          <w:szCs w:val="26"/>
        </w:rPr>
      </w:pPr>
      <w:r w:rsidRPr="005552E9">
        <w:rPr>
          <w:rFonts w:asciiTheme="majorHAnsi" w:hAnsiTheme="majorHAnsi" w:cstheme="majorHAnsi"/>
          <w:sz w:val="26"/>
          <w:szCs w:val="26"/>
        </w:rPr>
        <w:lastRenderedPageBreak/>
        <w:t xml:space="preserve">Đồng thời, </w:t>
      </w:r>
      <w:r w:rsidRPr="005552E9">
        <w:rPr>
          <w:rFonts w:asciiTheme="majorHAnsi" w:hAnsiTheme="majorHAnsi" w:cstheme="majorHAnsi"/>
          <w:b/>
          <w:bCs/>
          <w:sz w:val="26"/>
          <w:szCs w:val="26"/>
        </w:rPr>
        <w:t>bảo đảm doanh nghiệp nộp hồ sơ chuyển tiếp đầy đủ, đúng hạn được tiếp tục sản xuất, nhập khẩu và kinh doanh trong thời gian chờ giải quyết</w:t>
      </w:r>
      <w:r w:rsidRPr="005552E9">
        <w:rPr>
          <w:rFonts w:asciiTheme="majorHAnsi" w:hAnsiTheme="majorHAnsi" w:cstheme="majorHAnsi"/>
          <w:sz w:val="26"/>
          <w:szCs w:val="26"/>
        </w:rPr>
        <w:t>, trừ trường hợp có căn cứ xử lý về an toàn thực phẩm; không để thủ tục hành chính gây gián đoạn nguồn cung hoặc làm mất giá trị thương mại của thực phẩm.</w:t>
      </w:r>
    </w:p>
    <w:p w14:paraId="39E956BA" w14:textId="77777777" w:rsidR="00F31B1D" w:rsidRPr="000B2887" w:rsidRDefault="006E5A7C" w:rsidP="006B0306">
      <w:pPr>
        <w:pStyle w:val="Heading1"/>
        <w:jc w:val="both"/>
        <w:rPr>
          <w:rFonts w:cstheme="majorHAnsi"/>
          <w:szCs w:val="26"/>
        </w:rPr>
      </w:pPr>
      <w:r w:rsidRPr="000B2887">
        <w:rPr>
          <w:rFonts w:cstheme="majorHAnsi"/>
          <w:szCs w:val="26"/>
        </w:rPr>
        <w:t>3. Quy định chuyển tiếp và gánh nặng nghiên cứu độ ổn định đối với thực phẩm</w:t>
      </w:r>
    </w:p>
    <w:p w14:paraId="68642798" w14:textId="77777777" w:rsidR="00F31B1D" w:rsidRPr="000B2887" w:rsidRDefault="006E5A7C" w:rsidP="006B0306">
      <w:pPr>
        <w:pStyle w:val="Heading2"/>
        <w:jc w:val="both"/>
        <w:rPr>
          <w:rFonts w:cstheme="majorHAnsi"/>
          <w:szCs w:val="26"/>
        </w:rPr>
      </w:pPr>
      <w:r w:rsidRPr="000B2887">
        <w:rPr>
          <w:rFonts w:cstheme="majorHAnsi"/>
          <w:szCs w:val="26"/>
        </w:rPr>
        <w:t>Thứ nhất, nghiên cứu độ ổn định có thể làm phát sinh chi phí kiểm nghiệm hàng chục nghìn tỷ đồng theo kịch bản minh họa.</w:t>
      </w:r>
    </w:p>
    <w:p w14:paraId="654FE156" w14:textId="77777777" w:rsidR="00F31B1D" w:rsidRPr="000B2887" w:rsidRDefault="006E5A7C" w:rsidP="006B0306">
      <w:pPr>
        <w:spacing w:after="120"/>
        <w:jc w:val="both"/>
        <w:rPr>
          <w:rFonts w:asciiTheme="majorHAnsi" w:hAnsiTheme="majorHAnsi" w:cstheme="majorHAnsi"/>
          <w:sz w:val="26"/>
          <w:szCs w:val="26"/>
        </w:rPr>
      </w:pPr>
      <w:r w:rsidRPr="000B2887">
        <w:rPr>
          <w:rFonts w:asciiTheme="majorHAnsi" w:hAnsiTheme="majorHAnsi" w:cstheme="majorHAnsi"/>
          <w:color w:val="000000"/>
          <w:sz w:val="26"/>
          <w:szCs w:val="26"/>
        </w:rPr>
        <w:t>Mục IX, Mẫu số 04 của dự thảo Nghị định yêu cầu báo cáo nghiên cứu độ ổn định dài hạn, áp dụng cả với thực phẩm bổ sung có công bố khuyến cáo về sức khỏe. Nghiên cứu này đòi hỏi theo dõi sản phẩm qua nhiều thời điểm, trong điều kiện bảo quản được kiểm soát, với nhiều lượt lấy mẫu và kiểm nghiệm.</w:t>
      </w:r>
    </w:p>
    <w:p w14:paraId="44848864" w14:textId="77777777" w:rsidR="00F31B1D" w:rsidRPr="000B2887" w:rsidRDefault="006E5A7C" w:rsidP="006B0306">
      <w:pPr>
        <w:spacing w:after="120"/>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Giả định </w:t>
      </w:r>
      <w:r w:rsidRPr="000B2887">
        <w:rPr>
          <w:rFonts w:asciiTheme="majorHAnsi" w:hAnsiTheme="majorHAnsi" w:cstheme="majorHAnsi"/>
          <w:b/>
          <w:color w:val="000000"/>
          <w:sz w:val="26"/>
          <w:szCs w:val="26"/>
        </w:rPr>
        <w:t>25% trong số 400.000 sản phẩm đang tự công bố và còn lưu hành phải chuyển sang đăng ký</w:t>
      </w:r>
      <w:r w:rsidRPr="000B2887">
        <w:rPr>
          <w:rFonts w:asciiTheme="majorHAnsi" w:hAnsiTheme="majorHAnsi" w:cstheme="majorHAnsi"/>
          <w:color w:val="000000"/>
          <w:sz w:val="26"/>
          <w:szCs w:val="26"/>
        </w:rPr>
        <w:t xml:space="preserve">, tương đương </w:t>
      </w:r>
      <w:r w:rsidRPr="000B2887">
        <w:rPr>
          <w:rFonts w:asciiTheme="majorHAnsi" w:hAnsiTheme="majorHAnsi" w:cstheme="majorHAnsi"/>
          <w:b/>
          <w:color w:val="000000"/>
          <w:sz w:val="26"/>
          <w:szCs w:val="26"/>
        </w:rPr>
        <w:t>100.000 sản phẩm</w:t>
      </w:r>
      <w:r w:rsidRPr="000B2887">
        <w:rPr>
          <w:rFonts w:asciiTheme="majorHAnsi" w:hAnsiTheme="majorHAnsi" w:cstheme="majorHAnsi"/>
          <w:color w:val="000000"/>
          <w:sz w:val="26"/>
          <w:szCs w:val="26"/>
        </w:rPr>
        <w:t>; toàn bộ số sản phẩm này phải thực hiện nghiên cứu theo thiết kế minh họa dưới đây. Phạm vi tính bao gồm cả sản phẩm sản xuất trong nước và nhập khẩu, không tính sản phẩm trùng hoặc đã ngừng kinh doanh.</w:t>
      </w:r>
    </w:p>
    <w:p w14:paraId="2B71509A" w14:textId="77777777" w:rsidR="00F31B1D" w:rsidRPr="000B2887" w:rsidRDefault="006E5A7C" w:rsidP="006B0306">
      <w:pPr>
        <w:spacing w:after="120"/>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Với hạn sử dụng giả định </w:t>
      </w:r>
      <w:r w:rsidRPr="000B2887">
        <w:rPr>
          <w:rFonts w:asciiTheme="majorHAnsi" w:hAnsiTheme="majorHAnsi" w:cstheme="majorHAnsi"/>
          <w:b/>
          <w:color w:val="000000"/>
          <w:sz w:val="26"/>
          <w:szCs w:val="26"/>
        </w:rPr>
        <w:t>24 tháng</w:t>
      </w:r>
      <w:r w:rsidRPr="000B2887">
        <w:rPr>
          <w:rFonts w:asciiTheme="majorHAnsi" w:hAnsiTheme="majorHAnsi" w:cstheme="majorHAnsi"/>
          <w:color w:val="000000"/>
          <w:sz w:val="26"/>
          <w:szCs w:val="26"/>
        </w:rPr>
        <w:t xml:space="preserve">, thiết kế tham chiếu gồm </w:t>
      </w:r>
      <w:r w:rsidRPr="000B2887">
        <w:rPr>
          <w:rFonts w:asciiTheme="majorHAnsi" w:hAnsiTheme="majorHAnsi" w:cstheme="majorHAnsi"/>
          <w:b/>
          <w:color w:val="000000"/>
          <w:sz w:val="26"/>
          <w:szCs w:val="26"/>
        </w:rPr>
        <w:t>3 lô sản phẩm</w:t>
      </w:r>
      <w:r w:rsidRPr="000B2887">
        <w:rPr>
          <w:rFonts w:asciiTheme="majorHAnsi" w:hAnsiTheme="majorHAnsi" w:cstheme="majorHAnsi"/>
          <w:color w:val="000000"/>
          <w:sz w:val="26"/>
          <w:szCs w:val="26"/>
        </w:rPr>
        <w:t xml:space="preserve">, kiểm nghiệm tại </w:t>
      </w:r>
      <w:r w:rsidRPr="000B2887">
        <w:rPr>
          <w:rFonts w:asciiTheme="majorHAnsi" w:hAnsiTheme="majorHAnsi" w:cstheme="majorHAnsi"/>
          <w:b/>
          <w:color w:val="000000"/>
          <w:sz w:val="26"/>
          <w:szCs w:val="26"/>
        </w:rPr>
        <w:t>7 mốc</w:t>
      </w:r>
      <w:r w:rsidRPr="000B2887">
        <w:rPr>
          <w:rFonts w:asciiTheme="majorHAnsi" w:hAnsiTheme="majorHAnsi" w:cstheme="majorHAnsi"/>
          <w:color w:val="000000"/>
          <w:sz w:val="26"/>
          <w:szCs w:val="26"/>
        </w:rPr>
        <w:t xml:space="preserve"> là tháng 0, 3, 6, 9, 12, 18 và 24, sẽ cần </w:t>
      </w:r>
      <w:r w:rsidRPr="000B2887">
        <w:rPr>
          <w:rFonts w:asciiTheme="majorHAnsi" w:hAnsiTheme="majorHAnsi" w:cstheme="majorHAnsi"/>
          <w:b/>
          <w:color w:val="000000"/>
          <w:sz w:val="26"/>
          <w:szCs w:val="26"/>
        </w:rPr>
        <w:t>21 lượt kiểm nghiệm một sản phẩm</w:t>
      </w:r>
      <w:r w:rsidRPr="000B2887">
        <w:rPr>
          <w:rFonts w:asciiTheme="majorHAnsi" w:hAnsiTheme="majorHAnsi" w:cstheme="majorHAnsi"/>
          <w:color w:val="000000"/>
          <w:sz w:val="26"/>
          <w:szCs w:val="26"/>
        </w:rPr>
        <w:t xml:space="preserve">. Với đơn giá giả định </w:t>
      </w:r>
      <w:r w:rsidRPr="000B2887">
        <w:rPr>
          <w:rFonts w:asciiTheme="majorHAnsi" w:hAnsiTheme="majorHAnsi" w:cstheme="majorHAnsi"/>
          <w:b/>
          <w:color w:val="000000"/>
          <w:sz w:val="26"/>
          <w:szCs w:val="26"/>
        </w:rPr>
        <w:t>20 triệu đồng mỗi lượt</w:t>
      </w:r>
      <w:r w:rsidRPr="000B2887">
        <w:rPr>
          <w:rFonts w:asciiTheme="majorHAnsi" w:hAnsiTheme="majorHAnsi" w:cstheme="majorHAnsi"/>
          <w:color w:val="000000"/>
          <w:sz w:val="26"/>
          <w:szCs w:val="26"/>
        </w:rPr>
        <w:t xml:space="preserve">, chi phí là </w:t>
      </w:r>
      <w:r w:rsidRPr="000B2887">
        <w:rPr>
          <w:rFonts w:asciiTheme="majorHAnsi" w:hAnsiTheme="majorHAnsi" w:cstheme="majorHAnsi"/>
          <w:b/>
          <w:color w:val="000000"/>
          <w:sz w:val="26"/>
          <w:szCs w:val="26"/>
        </w:rPr>
        <w:t>420 triệu đồng một sản phẩm</w:t>
      </w:r>
      <w:r w:rsidRPr="000B2887">
        <w:rPr>
          <w:rFonts w:asciiTheme="majorHAnsi" w:hAnsiTheme="majorHAnsi" w:cstheme="majorHAnsi"/>
          <w:color w:val="000000"/>
          <w:sz w:val="26"/>
          <w:szCs w:val="26"/>
        </w:rPr>
        <w:t xml:space="preserve">, tương đương </w:t>
      </w:r>
      <w:r w:rsidRPr="000B2887">
        <w:rPr>
          <w:rFonts w:asciiTheme="majorHAnsi" w:hAnsiTheme="majorHAnsi" w:cstheme="majorHAnsi"/>
          <w:b/>
          <w:color w:val="000000"/>
          <w:sz w:val="26"/>
          <w:szCs w:val="26"/>
        </w:rPr>
        <w:t>42.000 tỷ đồng cho 100.000 sản phẩm</w:t>
      </w:r>
      <w:r w:rsidRPr="000B2887">
        <w:rPr>
          <w:rFonts w:asciiTheme="majorHAnsi" w:hAnsiTheme="majorHAnsi" w:cstheme="majorHAnsi"/>
          <w:color w:val="000000"/>
          <w:sz w:val="26"/>
          <w:szCs w:val="26"/>
        </w:rPr>
        <w:t>.</w:t>
      </w:r>
    </w:p>
    <w:p w14:paraId="352DE97B" w14:textId="77777777" w:rsidR="00F31B1D" w:rsidRPr="000B2887" w:rsidRDefault="006E5A7C" w:rsidP="006B0306">
      <w:pPr>
        <w:spacing w:after="120"/>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Nếu bổ sung hai mốc kiểm nghiệm cấp tốc trên mỗi lô, dùng chung kết quả ban đầu với nghiên cứu dài hạn, tổng số lượt là </w:t>
      </w:r>
      <w:r w:rsidRPr="000B2887">
        <w:rPr>
          <w:rFonts w:asciiTheme="majorHAnsi" w:hAnsiTheme="majorHAnsi" w:cstheme="majorHAnsi"/>
          <w:b/>
          <w:color w:val="000000"/>
          <w:sz w:val="26"/>
          <w:szCs w:val="26"/>
        </w:rPr>
        <w:t>27</w:t>
      </w:r>
      <w:r w:rsidRPr="000B2887">
        <w:rPr>
          <w:rFonts w:asciiTheme="majorHAnsi" w:hAnsiTheme="majorHAnsi" w:cstheme="majorHAnsi"/>
          <w:color w:val="000000"/>
          <w:sz w:val="26"/>
          <w:szCs w:val="26"/>
        </w:rPr>
        <w:t xml:space="preserve">, tương đương </w:t>
      </w:r>
      <w:r w:rsidRPr="000B2887">
        <w:rPr>
          <w:rFonts w:asciiTheme="majorHAnsi" w:hAnsiTheme="majorHAnsi" w:cstheme="majorHAnsi"/>
          <w:b/>
          <w:color w:val="000000"/>
          <w:sz w:val="26"/>
          <w:szCs w:val="26"/>
        </w:rPr>
        <w:t>540 triệu đồng một sản phẩm và 54.000 tỷ đồng cho 100.000 sản phẩm</w:t>
      </w:r>
      <w:r w:rsidRPr="000B2887">
        <w:rPr>
          <w:rFonts w:asciiTheme="majorHAnsi" w:hAnsiTheme="majorHAnsi" w:cstheme="majorHAnsi"/>
          <w:color w:val="000000"/>
          <w:sz w:val="26"/>
          <w:szCs w:val="26"/>
        </w:rPr>
        <w:t>. Theo Mẫu số 04, nghiên cứu cấp tốc là nội dung có thể bổ sung đối với sản phẩm chịu nhiệt, không phải nghĩa vụ bắt buộc chung.</w:t>
      </w:r>
    </w:p>
    <w:p w14:paraId="3D62DCBD" w14:textId="5448C75D" w:rsidR="00F31B1D" w:rsidRPr="000B2887" w:rsidRDefault="006E5A7C" w:rsidP="006B0306">
      <w:pPr>
        <w:spacing w:after="120"/>
        <w:jc w:val="both"/>
        <w:rPr>
          <w:rFonts w:asciiTheme="majorHAnsi" w:hAnsiTheme="majorHAnsi" w:cstheme="majorHAnsi"/>
          <w:sz w:val="26"/>
          <w:szCs w:val="26"/>
        </w:rPr>
      </w:pPr>
      <w:r w:rsidRPr="000B2887">
        <w:rPr>
          <w:rFonts w:asciiTheme="majorHAnsi" w:hAnsiTheme="majorHAnsi" w:cstheme="majorHAnsi"/>
          <w:b/>
          <w:color w:val="000000"/>
          <w:sz w:val="26"/>
          <w:szCs w:val="26"/>
        </w:rPr>
        <w:t xml:space="preserve">Các con số trên </w:t>
      </w:r>
      <w:r w:rsidRPr="000B2887">
        <w:rPr>
          <w:rFonts w:asciiTheme="majorHAnsi" w:hAnsiTheme="majorHAnsi" w:cstheme="majorHAnsi"/>
          <w:color w:val="000000"/>
          <w:sz w:val="26"/>
          <w:szCs w:val="26"/>
        </w:rPr>
        <w:t>chưa bao gồm mẫu sản phẩm, vận chuyển, thiết bị duy trì nhiệt độ và độ ẩm, điện, nhân sự, lập báo cáo và hồ sơ đăng ký. Quy mô này đòi hỏi cơ quan soạn thảo đánh giá đầy đủ tác động trước khi áp dụng.</w:t>
      </w:r>
    </w:p>
    <w:p w14:paraId="7D5861CB" w14:textId="11B02961" w:rsidR="00F31B1D" w:rsidRPr="000B2887" w:rsidRDefault="001A5115" w:rsidP="006B0306">
      <w:pPr>
        <w:spacing w:after="120"/>
        <w:jc w:val="both"/>
        <w:rPr>
          <w:rFonts w:asciiTheme="majorHAnsi" w:hAnsiTheme="majorHAnsi" w:cstheme="majorHAnsi"/>
          <w:sz w:val="26"/>
          <w:szCs w:val="26"/>
        </w:rPr>
      </w:pPr>
      <w:r>
        <w:rPr>
          <w:rFonts w:asciiTheme="majorHAnsi" w:hAnsiTheme="majorHAnsi" w:cstheme="majorHAnsi"/>
          <w:color w:val="000000"/>
          <w:sz w:val="26"/>
          <w:szCs w:val="26"/>
        </w:rPr>
        <w:t>VUSTA</w:t>
      </w:r>
      <w:r w:rsidRPr="001A5115">
        <w:rPr>
          <w:rFonts w:asciiTheme="majorHAnsi" w:hAnsiTheme="majorHAnsi" w:cstheme="majorHAnsi"/>
          <w:color w:val="000000"/>
          <w:sz w:val="26"/>
          <w:szCs w:val="26"/>
        </w:rPr>
        <w:t xml:space="preserve"> </w:t>
      </w:r>
      <w:r w:rsidR="006E5A7C" w:rsidRPr="000B2887">
        <w:rPr>
          <w:rFonts w:asciiTheme="majorHAnsi" w:hAnsiTheme="majorHAnsi" w:cstheme="majorHAnsi"/>
          <w:color w:val="000000"/>
          <w:sz w:val="26"/>
          <w:szCs w:val="26"/>
        </w:rPr>
        <w:t xml:space="preserve">đề nghị </w:t>
      </w:r>
      <w:r w:rsidR="006E5A7C" w:rsidRPr="000B2887">
        <w:rPr>
          <w:rFonts w:asciiTheme="majorHAnsi" w:hAnsiTheme="majorHAnsi" w:cstheme="majorHAnsi"/>
          <w:b/>
          <w:color w:val="000000"/>
          <w:sz w:val="26"/>
          <w:szCs w:val="26"/>
        </w:rPr>
        <w:t>loại bỏ hoàn toàn yêu cầu báo cáo nghiên cứu độ ổn định khỏi thành phần hồ sơ đăng ký thực phẩm</w:t>
      </w:r>
      <w:r w:rsidR="006E5A7C" w:rsidRPr="000B2887">
        <w:rPr>
          <w:rFonts w:asciiTheme="majorHAnsi" w:hAnsiTheme="majorHAnsi" w:cstheme="majorHAnsi"/>
          <w:color w:val="000000"/>
          <w:sz w:val="26"/>
          <w:szCs w:val="26"/>
        </w:rPr>
        <w:t>, bao gồm hồ sơ sản phẩm chuyển từ tự công bố sang đăng ký. Doanh nghiệp vẫn chịu trách nhiệm về an toàn, chất lượng và hạn sử dụng; cơ quan quản lý tập trung vào điều kiện sản xuất, bảo quản và hậu kiểm dựa trên nguy cơ.</w:t>
      </w:r>
    </w:p>
    <w:p w14:paraId="42ACB071" w14:textId="33D70D8A" w:rsidR="00F31B1D" w:rsidRPr="000B2887" w:rsidRDefault="006E5A7C" w:rsidP="006B0306">
      <w:pPr>
        <w:pStyle w:val="Heading2"/>
        <w:jc w:val="both"/>
        <w:rPr>
          <w:rFonts w:cstheme="majorHAnsi"/>
          <w:szCs w:val="26"/>
        </w:rPr>
      </w:pPr>
      <w:r w:rsidRPr="000B2887">
        <w:rPr>
          <w:rFonts w:cstheme="majorHAnsi"/>
          <w:szCs w:val="26"/>
        </w:rPr>
        <w:t xml:space="preserve">Thứ </w:t>
      </w:r>
      <w:r w:rsidR="00592D38" w:rsidRPr="00592D38">
        <w:rPr>
          <w:rFonts w:cstheme="majorHAnsi"/>
          <w:szCs w:val="26"/>
        </w:rPr>
        <w:t>ha</w:t>
      </w:r>
      <w:r w:rsidR="00592D38" w:rsidRPr="005552E9">
        <w:rPr>
          <w:rFonts w:cstheme="majorHAnsi"/>
          <w:szCs w:val="26"/>
        </w:rPr>
        <w:t>i</w:t>
      </w:r>
      <w:r w:rsidRPr="000B2887">
        <w:rPr>
          <w:rFonts w:cstheme="majorHAnsi"/>
          <w:szCs w:val="26"/>
        </w:rPr>
        <w:t>, thời gian nghiên cứu cộng thời gian đăng ký có thể gần hết thời hạn chuyển tiếp.</w:t>
      </w:r>
    </w:p>
    <w:p w14:paraId="75F9B717" w14:textId="77777777" w:rsidR="00F31B1D" w:rsidRPr="000B2887" w:rsidRDefault="006E5A7C" w:rsidP="006B0306">
      <w:pPr>
        <w:spacing w:after="120"/>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Nếu phải hoàn tất nghiên cứu dài hạn </w:t>
      </w:r>
      <w:r w:rsidRPr="000B2887">
        <w:rPr>
          <w:rFonts w:asciiTheme="majorHAnsi" w:hAnsiTheme="majorHAnsi" w:cstheme="majorHAnsi"/>
          <w:b/>
          <w:color w:val="000000"/>
          <w:sz w:val="26"/>
          <w:szCs w:val="26"/>
        </w:rPr>
        <w:t>24 tháng trước khi nộp hồ sơ</w:t>
      </w:r>
      <w:r w:rsidRPr="000B2887">
        <w:rPr>
          <w:rFonts w:asciiTheme="majorHAnsi" w:hAnsiTheme="majorHAnsi" w:cstheme="majorHAnsi"/>
          <w:color w:val="000000"/>
          <w:sz w:val="26"/>
          <w:szCs w:val="26"/>
        </w:rPr>
        <w:t xml:space="preserve">, sau đó trải qua quá trình đăng ký </w:t>
      </w:r>
      <w:r w:rsidRPr="000B2887">
        <w:rPr>
          <w:rFonts w:asciiTheme="majorHAnsi" w:hAnsiTheme="majorHAnsi" w:cstheme="majorHAnsi"/>
          <w:b/>
          <w:color w:val="000000"/>
          <w:sz w:val="26"/>
          <w:szCs w:val="26"/>
        </w:rPr>
        <w:t>khoảng 11 tháng</w:t>
      </w:r>
      <w:r w:rsidRPr="000B2887">
        <w:rPr>
          <w:rFonts w:asciiTheme="majorHAnsi" w:hAnsiTheme="majorHAnsi" w:cstheme="majorHAnsi"/>
          <w:color w:val="000000"/>
          <w:sz w:val="26"/>
          <w:szCs w:val="26"/>
        </w:rPr>
        <w:t xml:space="preserve"> như kịch bản tại chủ đề 2, tổng thời gian có thể tới </w:t>
      </w:r>
      <w:r w:rsidRPr="000B2887">
        <w:rPr>
          <w:rFonts w:asciiTheme="majorHAnsi" w:hAnsiTheme="majorHAnsi" w:cstheme="majorHAnsi"/>
          <w:b/>
          <w:color w:val="000000"/>
          <w:sz w:val="26"/>
          <w:szCs w:val="26"/>
        </w:rPr>
        <w:t>35 tháng</w:t>
      </w:r>
      <w:r w:rsidRPr="000B2887">
        <w:rPr>
          <w:rFonts w:asciiTheme="majorHAnsi" w:hAnsiTheme="majorHAnsi" w:cstheme="majorHAnsi"/>
          <w:color w:val="000000"/>
          <w:sz w:val="26"/>
          <w:szCs w:val="26"/>
        </w:rPr>
        <w:t xml:space="preserve">, gần hết thời hạn chuyển tiếp </w:t>
      </w:r>
      <w:r w:rsidRPr="000B2887">
        <w:rPr>
          <w:rFonts w:asciiTheme="majorHAnsi" w:hAnsiTheme="majorHAnsi" w:cstheme="majorHAnsi"/>
          <w:b/>
          <w:color w:val="000000"/>
          <w:sz w:val="26"/>
          <w:szCs w:val="26"/>
        </w:rPr>
        <w:t>36 tháng</w:t>
      </w:r>
      <w:r w:rsidRPr="000B2887">
        <w:rPr>
          <w:rFonts w:asciiTheme="majorHAnsi" w:hAnsiTheme="majorHAnsi" w:cstheme="majorHAnsi"/>
          <w:color w:val="000000"/>
          <w:sz w:val="26"/>
          <w:szCs w:val="26"/>
        </w:rPr>
        <w:t>. Khoảng dự phòng còn lại rất ít cho chuẩn bị lô nghiên cứu, tài liệu và các vướng mắc phát sinh.</w:t>
      </w:r>
    </w:p>
    <w:p w14:paraId="07F1D79C" w14:textId="77777777" w:rsidR="00F31B1D" w:rsidRPr="000B2887" w:rsidRDefault="006E5A7C" w:rsidP="006B0306">
      <w:pPr>
        <w:spacing w:after="120"/>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Đề nghị bỏ yêu cầu nghiên cứu độ ổn định trong hồ sơ đăng ký, đồng thời rút ngắn thủ tục và thống nhất quy định chuyển tiếp. Cần bảo đảm doanh nghiệp nộp hồ sơ đầy đủ, đúng hạn được tiếp tục sản xuất, nhập khẩu và kinh doanh trong thời gian chờ giải quyết, trừ trường </w:t>
      </w:r>
      <w:r w:rsidRPr="000B2887">
        <w:rPr>
          <w:rFonts w:asciiTheme="majorHAnsi" w:hAnsiTheme="majorHAnsi" w:cstheme="majorHAnsi"/>
          <w:color w:val="000000"/>
          <w:sz w:val="26"/>
          <w:szCs w:val="26"/>
        </w:rPr>
        <w:lastRenderedPageBreak/>
        <w:t xml:space="preserve">hợp có căn cứ xử lý về an toàn thực phẩm. </w:t>
      </w:r>
      <w:r w:rsidRPr="000B2887">
        <w:rPr>
          <w:rFonts w:asciiTheme="majorHAnsi" w:hAnsiTheme="majorHAnsi" w:cstheme="majorHAnsi"/>
          <w:b/>
          <w:color w:val="000000"/>
          <w:sz w:val="26"/>
          <w:szCs w:val="26"/>
        </w:rPr>
        <w:t>Không để việc chuyển đổi thủ tục trở thành nguyên nhân làm ngừng cung ứng sản phẩm đang lưu hành hợp pháp.</w:t>
      </w:r>
    </w:p>
    <w:p w14:paraId="51509442" w14:textId="77777777" w:rsidR="00FD3762" w:rsidRPr="000B2887" w:rsidRDefault="00FD3762" w:rsidP="006B0306">
      <w:pPr>
        <w:pStyle w:val="Heading1"/>
        <w:jc w:val="both"/>
        <w:rPr>
          <w:rFonts w:cstheme="majorHAnsi"/>
          <w:szCs w:val="26"/>
        </w:rPr>
      </w:pPr>
      <w:r w:rsidRPr="000B2887">
        <w:rPr>
          <w:rFonts w:cstheme="majorHAnsi"/>
          <w:bCs/>
          <w:szCs w:val="26"/>
        </w:rPr>
        <w:t>4. Kiểm tra thực phẩm nhập khẩu: nguy cơ kéo dài thông quan, ùn tắc tại cảng và gia tăng chi phí</w:t>
      </w:r>
    </w:p>
    <w:p w14:paraId="1B548929" w14:textId="2E303203" w:rsidR="00FD3762" w:rsidRPr="000B2887" w:rsidRDefault="001A5115" w:rsidP="006B0306">
      <w:pPr>
        <w:spacing w:after="120"/>
        <w:jc w:val="both"/>
        <w:rPr>
          <w:rFonts w:asciiTheme="majorHAnsi" w:hAnsiTheme="majorHAnsi" w:cstheme="majorHAnsi"/>
          <w:sz w:val="26"/>
          <w:szCs w:val="26"/>
        </w:rPr>
      </w:pPr>
      <w:r>
        <w:rPr>
          <w:rFonts w:asciiTheme="majorHAnsi" w:hAnsiTheme="majorHAnsi" w:cstheme="majorHAnsi"/>
          <w:sz w:val="26"/>
          <w:szCs w:val="26"/>
        </w:rPr>
        <w:t>VUSTA</w:t>
      </w:r>
      <w:r w:rsidRPr="001A5115">
        <w:rPr>
          <w:rFonts w:asciiTheme="majorHAnsi" w:hAnsiTheme="majorHAnsi" w:cstheme="majorHAnsi"/>
          <w:sz w:val="26"/>
          <w:szCs w:val="26"/>
        </w:rPr>
        <w:t xml:space="preserve"> </w:t>
      </w:r>
      <w:r w:rsidR="00FD3762" w:rsidRPr="000B2887">
        <w:rPr>
          <w:rFonts w:asciiTheme="majorHAnsi" w:hAnsiTheme="majorHAnsi" w:cstheme="majorHAnsi"/>
          <w:sz w:val="26"/>
          <w:szCs w:val="26"/>
        </w:rPr>
        <w:t>ủng hộ kiểm soát chặt nguy cơ an toàn thực phẩm, nhưng đề nghị xem xét ba hạn chế của quy định kiểm tra nhập khẩu trong dự thảo.</w:t>
      </w:r>
    </w:p>
    <w:p w14:paraId="151EB3ED" w14:textId="77777777" w:rsidR="00FD3762" w:rsidRPr="000B2887" w:rsidRDefault="00FD3762" w:rsidP="006B0306">
      <w:pPr>
        <w:pStyle w:val="Heading2"/>
        <w:jc w:val="both"/>
        <w:rPr>
          <w:rFonts w:cstheme="majorHAnsi"/>
          <w:szCs w:val="26"/>
        </w:rPr>
      </w:pPr>
      <w:r w:rsidRPr="000B2887">
        <w:rPr>
          <w:rFonts w:cstheme="majorHAnsi"/>
          <w:bCs/>
          <w:szCs w:val="26"/>
        </w:rPr>
        <w:t>Thứ nhất, mở rộng kiểm nghiệm có thể gây quá tải và ùn tắc dây chuyền tại cảng.</w:t>
      </w:r>
    </w:p>
    <w:p w14:paraId="55E95041"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Khoản 2 Điều 58 dự thảo Nghị định bổ sung kiểm tra thực tế và lấy mẫu vào phương thức kiểm tra thông thường, vốn chỉ kiểm tra hồ sơ theo Nghị định 15/2018/NĐ-CP.</w:t>
      </w:r>
    </w:p>
    <w:p w14:paraId="72B8C08D"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 xml:space="preserve">Đối với kiểm tra chặt, nếu các công đoạn thực hiện nối tiếp và sử dụng hết thời hạn, tổng thời gian có thể lên tới </w:t>
      </w:r>
      <w:r w:rsidRPr="000B2887">
        <w:rPr>
          <w:rFonts w:asciiTheme="majorHAnsi" w:hAnsiTheme="majorHAnsi" w:cstheme="majorHAnsi"/>
          <w:b/>
          <w:bCs/>
          <w:sz w:val="26"/>
          <w:szCs w:val="26"/>
        </w:rPr>
        <w:t>11–18 ngày làm việc</w:t>
      </w:r>
      <w:r w:rsidRPr="000B2887">
        <w:rPr>
          <w:rFonts w:asciiTheme="majorHAnsi" w:hAnsiTheme="majorHAnsi" w:cstheme="majorHAnsi"/>
          <w:sz w:val="26"/>
          <w:szCs w:val="26"/>
        </w:rPr>
        <w:t xml:space="preserve">, chưa kể thời gian chờ phát sinh. Khi nhiều lô phải giữ tại cảng chờ kết quả, container mới tiếp tục đến trong khi container cũ chưa được giải phóng. </w:t>
      </w:r>
      <w:r w:rsidRPr="000B2887">
        <w:rPr>
          <w:rFonts w:asciiTheme="majorHAnsi" w:hAnsiTheme="majorHAnsi" w:cstheme="majorHAnsi"/>
          <w:b/>
          <w:bCs/>
          <w:sz w:val="26"/>
          <w:szCs w:val="26"/>
        </w:rPr>
        <w:t>Hàng tồn làm chậm việc bố trí kiểm tra; kiểm tra chậm lại tiếp tục làm tăng hàng tồn</w:t>
      </w:r>
      <w:r w:rsidRPr="000B2887">
        <w:rPr>
          <w:rFonts w:asciiTheme="majorHAnsi" w:hAnsiTheme="majorHAnsi" w:cstheme="majorHAnsi"/>
          <w:sz w:val="26"/>
          <w:szCs w:val="26"/>
        </w:rPr>
        <w:t>, ảnh hưởng cả những hàng hóa khác cùng sử dụng hạ tầng cảng.</w:t>
      </w:r>
    </w:p>
    <w:p w14:paraId="34BFD37D"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Bộ Y tế phối hợp Bộ Tài chính đánh giá số lô, số mẫu phát sinh và năng lực cảng, phòng thử nghiệm trước khi mở rộng kiểm nghiệm; đồng thời chứng minh lợi ích an toàn thực phẩm tăng thêm so với cơ chế hiện hành.</w:t>
      </w:r>
    </w:p>
    <w:p w14:paraId="3E213C66" w14:textId="77777777" w:rsidR="00FD3762" w:rsidRPr="000B2887" w:rsidRDefault="00FD3762" w:rsidP="006B0306">
      <w:pPr>
        <w:pStyle w:val="Heading2"/>
        <w:jc w:val="both"/>
        <w:rPr>
          <w:rFonts w:cstheme="majorHAnsi"/>
          <w:szCs w:val="26"/>
        </w:rPr>
      </w:pPr>
      <w:r w:rsidRPr="000B2887">
        <w:rPr>
          <w:rFonts w:cstheme="majorHAnsi"/>
          <w:bCs/>
          <w:szCs w:val="26"/>
        </w:rPr>
        <w:t>Thứ hai, tiêu chí và phương thức kiểm tra chưa rõ có thể dẫn đến kiểm nghiệm tràn lan.</w:t>
      </w:r>
    </w:p>
    <w:p w14:paraId="1C16F4AA"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Dự thảo chưa cụ thể hóa căn cứ lựa chọn chỉ tiêu thử nghiệm, tạo nguy cơ yêu cầu kiểm nghiệm quá nhiều chỉ tiêu để tránh trách nhiệm. Kiểm tra chặt trong 12 tháng có thể tiếp tục áp dụng dù nhiều lô liên tiếp đạt yêu cầu; trong khi kiểm tra giảm chưa làm rõ giới hạn kiểm tra thực tế và lấy mẫu.</w:t>
      </w:r>
    </w:p>
    <w:p w14:paraId="37B4EEE8"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quy định rõ chỉ tiêu và tỷ lệ lấy mẫu theo nguy cơ; duy trì kiểm tra hồ sơ là nền tảng của kiểm tra thông thường, cho phép giảm kiểm tra chặt khi có đủ bằng chứng tuân thủ và bảo đảm kiểm tra giảm thực sự giảm thời gian, chi phí.</w:t>
      </w:r>
    </w:p>
    <w:p w14:paraId="333E0942" w14:textId="77777777" w:rsidR="00FD3762" w:rsidRPr="000B2887" w:rsidRDefault="00FD3762" w:rsidP="006B0306">
      <w:pPr>
        <w:pStyle w:val="Heading2"/>
        <w:jc w:val="both"/>
        <w:rPr>
          <w:rFonts w:cstheme="majorHAnsi"/>
          <w:szCs w:val="26"/>
        </w:rPr>
      </w:pPr>
      <w:r w:rsidRPr="000B2887">
        <w:rPr>
          <w:rFonts w:cstheme="majorHAnsi"/>
          <w:bCs/>
          <w:szCs w:val="26"/>
        </w:rPr>
        <w:t>Thứ ba, thời gian chờ có thể làm thực phẩm hết hạn trước khi được bán, dù kết quả kiểm nghiệm đạt yêu cầu.</w:t>
      </w:r>
    </w:p>
    <w:p w14:paraId="6DF5EDAF"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 xml:space="preserve">Ví dụ minh họa, sữa chua có hạn dùng </w:t>
      </w:r>
      <w:r w:rsidRPr="000B2887">
        <w:rPr>
          <w:rFonts w:asciiTheme="majorHAnsi" w:hAnsiTheme="majorHAnsi" w:cstheme="majorHAnsi"/>
          <w:b/>
          <w:bCs/>
          <w:sz w:val="26"/>
          <w:szCs w:val="26"/>
        </w:rPr>
        <w:t>45 ngày</w:t>
      </w:r>
      <w:r w:rsidRPr="000B2887">
        <w:rPr>
          <w:rFonts w:asciiTheme="majorHAnsi" w:hAnsiTheme="majorHAnsi" w:cstheme="majorHAnsi"/>
          <w:sz w:val="26"/>
          <w:szCs w:val="26"/>
        </w:rPr>
        <w:t>, nếu đã mất 15 ngày trước khi đến cảng thì chỉ còn 30 ngày. Chờ thêm 20 ngày chỉ còn 10 ngày để phân phối, tiêu thụ; chờ 30 ngày thì sản phẩm hết hạn ngay trong thời gian chờ.</w:t>
      </w:r>
    </w:p>
    <w:p w14:paraId="0EAC4212"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 xml:space="preserve">Doanh nghiệp còn phải trả chi phí kiểm nghiệm, nâng hạ, lưu container, lưu bãi, bảo quản và vốn tồn đọng. </w:t>
      </w:r>
      <w:r w:rsidRPr="000B2887">
        <w:rPr>
          <w:rFonts w:asciiTheme="majorHAnsi" w:hAnsiTheme="majorHAnsi" w:cstheme="majorHAnsi"/>
          <w:b/>
          <w:bCs/>
          <w:sz w:val="26"/>
          <w:szCs w:val="26"/>
        </w:rPr>
        <w:t>Một lô hàng đạt yêu cầu an toàn vẫn có thể mất khả năng kinh doanh và phải tiêu hủy</w:t>
      </w:r>
      <w:r w:rsidRPr="000B2887">
        <w:rPr>
          <w:rFonts w:asciiTheme="majorHAnsi" w:hAnsiTheme="majorHAnsi" w:cstheme="majorHAnsi"/>
          <w:sz w:val="26"/>
          <w:szCs w:val="26"/>
        </w:rPr>
        <w:t>, khiến doanh nghiệp ngừng nhập sản phẩm hạn dùng ngắn, giảm nguồn cung và lựa chọn của người tiêu dùng.</w:t>
      </w:r>
    </w:p>
    <w:p w14:paraId="016F6ACF" w14:textId="77777777" w:rsidR="00FD3762" w:rsidRPr="000B2887" w:rsidRDefault="00FD3762"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quy định thời hạn tối đa cho toàn bộ quy trình, trách nhiệm xử lý chậm trễ và cơ chế ưu tiên thực phẩm dễ hư hỏng; chỉ giữ hàng chờ kết quả khi có căn cứ nguy cơ phù hợp.</w:t>
      </w:r>
    </w:p>
    <w:p w14:paraId="3ED6EDE4" w14:textId="77777777" w:rsidR="00A166DF" w:rsidRPr="000B2887" w:rsidRDefault="00A166DF" w:rsidP="006B0306">
      <w:pPr>
        <w:pStyle w:val="Heading1"/>
        <w:jc w:val="both"/>
        <w:rPr>
          <w:rFonts w:cstheme="majorHAnsi"/>
          <w:szCs w:val="26"/>
        </w:rPr>
      </w:pPr>
      <w:r w:rsidRPr="000B2887">
        <w:rPr>
          <w:rFonts w:cstheme="majorHAnsi"/>
          <w:bCs/>
          <w:szCs w:val="26"/>
        </w:rPr>
        <w:lastRenderedPageBreak/>
        <w:t>5. Phê duyệt quốc gia và cơ sở sản xuất nước ngoài: nguy cơ tạo thêm rào cản thương mại</w:t>
      </w:r>
    </w:p>
    <w:p w14:paraId="567124DC" w14:textId="09FB6F07" w:rsidR="00A166DF" w:rsidRPr="000B2887" w:rsidRDefault="001A5115" w:rsidP="006B0306">
      <w:pPr>
        <w:spacing w:after="120"/>
        <w:jc w:val="both"/>
        <w:rPr>
          <w:rFonts w:asciiTheme="majorHAnsi" w:hAnsiTheme="majorHAnsi" w:cstheme="majorHAnsi"/>
          <w:sz w:val="26"/>
          <w:szCs w:val="26"/>
        </w:rPr>
      </w:pPr>
      <w:r>
        <w:rPr>
          <w:rFonts w:asciiTheme="majorHAnsi" w:hAnsiTheme="majorHAnsi" w:cstheme="majorHAnsi"/>
          <w:sz w:val="26"/>
          <w:szCs w:val="26"/>
        </w:rPr>
        <w:t>VUSTA</w:t>
      </w:r>
      <w:r w:rsidRPr="001A5115">
        <w:rPr>
          <w:rFonts w:asciiTheme="majorHAnsi" w:hAnsiTheme="majorHAnsi" w:cstheme="majorHAnsi"/>
          <w:sz w:val="26"/>
          <w:szCs w:val="26"/>
        </w:rPr>
        <w:t xml:space="preserve"> </w:t>
      </w:r>
      <w:r w:rsidR="00A166DF" w:rsidRPr="000B2887">
        <w:rPr>
          <w:rFonts w:asciiTheme="majorHAnsi" w:hAnsiTheme="majorHAnsi" w:cstheme="majorHAnsi"/>
          <w:sz w:val="26"/>
          <w:szCs w:val="26"/>
        </w:rPr>
        <w:t>đặc biệt quan ngại về yêu cầu phê duyệt quốc gia và cơ sở sản xuất nước ngoài tại điểm d khoản 2 Điều 48 dự thảo Luật và Điều 53 dự thảo Nghị định, tập trung vào ba vấn đề.</w:t>
      </w:r>
    </w:p>
    <w:p w14:paraId="4D9FEE61" w14:textId="77777777" w:rsidR="00A166DF" w:rsidRPr="000B2887" w:rsidRDefault="00A166DF" w:rsidP="006B0306">
      <w:pPr>
        <w:pStyle w:val="Heading2"/>
        <w:jc w:val="both"/>
        <w:rPr>
          <w:rFonts w:cstheme="majorHAnsi"/>
          <w:szCs w:val="26"/>
        </w:rPr>
      </w:pPr>
      <w:r w:rsidRPr="000B2887">
        <w:rPr>
          <w:rFonts w:cstheme="majorHAnsi"/>
          <w:bCs/>
          <w:szCs w:val="26"/>
        </w:rPr>
        <w:t>Thứ nhất, bổ sung hai thủ tục tiền kiểm có thể cản trở tiếp cận thị trường dù sản phẩm đáp ứng yêu cầu an toàn.</w:t>
      </w:r>
    </w:p>
    <w:p w14:paraId="0B88CCA5"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 xml:space="preserve">Đối với trường hợp thuộc diện áp dụng đầy đủ, thực phẩm nhập khẩu có thể phải đáp ứng </w:t>
      </w:r>
      <w:r w:rsidRPr="000B2887">
        <w:rPr>
          <w:rFonts w:asciiTheme="majorHAnsi" w:hAnsiTheme="majorHAnsi" w:cstheme="majorHAnsi"/>
          <w:b/>
          <w:bCs/>
          <w:sz w:val="26"/>
          <w:szCs w:val="26"/>
        </w:rPr>
        <w:t>4 bước: đăng ký quốc gia; đăng ký cơ sở xuất khẩu; đăng ký hoặc công bố sản phẩm; và kiểm tra lô hàng nhập khẩu.</w:t>
      </w:r>
    </w:p>
    <w:p w14:paraId="1A1F7B68"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Hai thủ tục bổ sung có nguy cơ mở rộng sang thực phẩm chế biến, bao gói sẵn và các sản phẩm khác đang được quản lý thông qua thủ tục sản phẩm và kiểm tra nhập khẩu. Phạm vi, ngoại lệ giữa Điều 52 và Điều 53 cũng cần được thống nhất để tránh loại trừ ở quy định này nhưng lại đưa vào diện phê duyệt ở quy định khác.</w:t>
      </w:r>
    </w:p>
    <w:p w14:paraId="44CE17BA"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không mở rộng hai thủ tục này khi chưa chứng minh được nguy cơ và lợi ích an toàn thực phẩm tăng thêm, đặc biệt đối với sản phẩm có nguy cơ thấp.</w:t>
      </w:r>
    </w:p>
    <w:p w14:paraId="31711755" w14:textId="77777777" w:rsidR="00A166DF" w:rsidRPr="000B2887" w:rsidRDefault="00A166DF" w:rsidP="006B0306">
      <w:pPr>
        <w:pStyle w:val="Heading2"/>
        <w:jc w:val="both"/>
        <w:rPr>
          <w:rFonts w:cstheme="majorHAnsi"/>
          <w:szCs w:val="26"/>
        </w:rPr>
      </w:pPr>
      <w:r w:rsidRPr="000B2887">
        <w:rPr>
          <w:rFonts w:cstheme="majorHAnsi"/>
          <w:bCs/>
          <w:szCs w:val="26"/>
        </w:rPr>
        <w:t>Thứ hai, doanh nghiệp có thể phải chờ phê duyệt kéo dài ngoài khả năng chủ động của mình.</w:t>
      </w:r>
    </w:p>
    <w:p w14:paraId="5A98ECC5"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Theo Điều 63 dự thảo Nghị định, hồ sơ phải thông qua cơ quan có thẩm quyền của nước xuất khẩu. Tiến độ vì vậy phụ thuộc vào phối hợp giữa các quốc gia, việc đánh giá hệ thống quản lý và kiểm tra tại nước ngoài, trong khi chưa có thời hạn tối đa cho toàn bộ quy trình.</w:t>
      </w:r>
    </w:p>
    <w:p w14:paraId="37C03A0D"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Sản phẩm có thể đã hoàn thành thủ tục tại Việt Nam nhưng vẫn chưa được nhập khẩu vì quốc gia hoặc cơ sở chưa có tên trong danh sách</w:t>
      </w:r>
      <w:r w:rsidRPr="000B2887">
        <w:rPr>
          <w:rFonts w:asciiTheme="majorHAnsi" w:hAnsiTheme="majorHAnsi" w:cstheme="majorHAnsi"/>
          <w:sz w:val="26"/>
          <w:szCs w:val="26"/>
        </w:rPr>
        <w:t>, làm chậm sản phẩm mới, hạn chế bổ sung nhà máy và gián đoạn nguồn cung.</w:t>
      </w:r>
    </w:p>
    <w:p w14:paraId="647FE18F"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quy định thời hạn xử lý toàn trình, cơ chế xử lý hồ sơ quá hạn và chuyển tiếp bảo đảm nhập khẩu liên tục đối với sản phẩm đang lưu hành hợp pháp.</w:t>
      </w:r>
    </w:p>
    <w:p w14:paraId="18FD06D0" w14:textId="77777777" w:rsidR="00A166DF" w:rsidRPr="000B2887" w:rsidRDefault="00A166DF" w:rsidP="006B0306">
      <w:pPr>
        <w:pStyle w:val="Heading2"/>
        <w:jc w:val="both"/>
        <w:rPr>
          <w:rFonts w:cstheme="majorHAnsi"/>
          <w:szCs w:val="26"/>
        </w:rPr>
      </w:pPr>
      <w:r w:rsidRPr="000B2887">
        <w:rPr>
          <w:rFonts w:cstheme="majorHAnsi"/>
          <w:bCs/>
          <w:szCs w:val="26"/>
        </w:rPr>
        <w:t>Thứ ba, phạm vi phê duyệt mở rộng cần được rà soát về tính tương thích với cam kết quốc tế.</w:t>
      </w:r>
    </w:p>
    <w:p w14:paraId="3DFB2790"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sz w:val="26"/>
          <w:szCs w:val="26"/>
        </w:rPr>
        <w:t>Các yêu cầu mới cần được đối chiếu với Hiệp định SPS của WTO và EVFTA về căn cứ khoa học, tính tương xứng với nguy cơ, thời hạn xử lý và hạn chế thương mại không cần thiết. Không thể chỉ dựa vào mục tiêu bảo đảm an toàn thực phẩm để mặc nhiên mở rộng điều kiện tiếp cận thị trường.</w:t>
      </w:r>
    </w:p>
    <w:p w14:paraId="67299C85" w14:textId="77777777" w:rsidR="00A166DF" w:rsidRPr="000B2887" w:rsidRDefault="00A166DF" w:rsidP="006B0306">
      <w:pPr>
        <w:spacing w:after="120"/>
        <w:jc w:val="both"/>
        <w:rPr>
          <w:rFonts w:asciiTheme="majorHAnsi" w:hAnsiTheme="majorHAnsi" w:cstheme="majorHAnsi"/>
          <w:sz w:val="26"/>
          <w:szCs w:val="26"/>
        </w:rPr>
      </w:pPr>
      <w:r w:rsidRPr="000B2887">
        <w:rPr>
          <w:rFonts w:asciiTheme="majorHAnsi" w:hAnsiTheme="majorHAnsi" w:cstheme="majorHAnsi"/>
          <w:b/>
          <w:bCs/>
          <w:sz w:val="26"/>
          <w:szCs w:val="26"/>
        </w:rPr>
        <w:t>Đề nghị rà soát đầy đủ các nghĩa vụ quốc tế trước khi ban hành; ưu tiên công nhận tương đương và sử dụng kết quả đánh giá đáng tin cậy của nước xuất khẩu, tránh phê duyệt trùng lặp khi không cần thiết.</w:t>
      </w:r>
    </w:p>
    <w:p w14:paraId="21E98EF9" w14:textId="77777777" w:rsidR="00456B70" w:rsidRPr="00456B70" w:rsidRDefault="00456B70" w:rsidP="006B0306">
      <w:pPr>
        <w:spacing w:after="120"/>
        <w:jc w:val="both"/>
        <w:rPr>
          <w:rFonts w:asciiTheme="majorHAnsi" w:hAnsiTheme="majorHAnsi" w:cstheme="majorHAnsi"/>
          <w:b/>
          <w:bCs/>
          <w:sz w:val="26"/>
          <w:szCs w:val="26"/>
        </w:rPr>
      </w:pPr>
      <w:r w:rsidRPr="00456B70">
        <w:rPr>
          <w:rFonts w:asciiTheme="majorHAnsi" w:hAnsiTheme="majorHAnsi" w:cstheme="majorHAnsi"/>
          <w:b/>
          <w:bCs/>
          <w:sz w:val="26"/>
          <w:szCs w:val="26"/>
        </w:rPr>
        <w:t>6. Bảo đảm quyền tự đánh giá sự phù hợp, tránh phát sinh thủ tục và chi phí không cần thiết</w:t>
      </w:r>
    </w:p>
    <w:p w14:paraId="4AA2B69A" w14:textId="77777777" w:rsidR="00120093" w:rsidRPr="00D82B99" w:rsidRDefault="00120093" w:rsidP="006B0306">
      <w:pPr>
        <w:spacing w:after="120"/>
        <w:jc w:val="both"/>
        <w:rPr>
          <w:rFonts w:asciiTheme="majorHAnsi" w:hAnsiTheme="majorHAnsi" w:cstheme="majorHAnsi"/>
          <w:sz w:val="26"/>
          <w:szCs w:val="26"/>
        </w:rPr>
      </w:pPr>
      <w:r w:rsidRPr="00456B70">
        <w:rPr>
          <w:rFonts w:asciiTheme="majorHAnsi" w:hAnsiTheme="majorHAnsi" w:cstheme="majorHAnsi"/>
          <w:sz w:val="26"/>
          <w:szCs w:val="26"/>
        </w:rPr>
        <w:lastRenderedPageBreak/>
        <w:t xml:space="preserve">Điểm d khoản 3 Điều 20 dự thảo Luật chỉ yêu cầu nội dung kết luận khi tổ chức, cá nhân có yêu cầu. Tuy nhiên, Điều 44 và Điều 48 dự thảo Nghị định lại bắt buộc phiếu thử nghiệm phải có kết luận “đạt hoặc không đạt”, </w:t>
      </w:r>
      <w:r w:rsidRPr="00D82B99">
        <w:rPr>
          <w:rFonts w:asciiTheme="majorHAnsi" w:hAnsiTheme="majorHAnsi" w:cstheme="majorHAnsi"/>
          <w:sz w:val="26"/>
          <w:szCs w:val="26"/>
        </w:rPr>
        <w:t>biến yêu cầu có điều kiện thành nghĩa vụ bắt buộc chung.</w:t>
      </w:r>
    </w:p>
    <w:p w14:paraId="6A59B20B" w14:textId="77777777" w:rsidR="00120093" w:rsidRPr="00120093" w:rsidRDefault="00120093" w:rsidP="006B0306">
      <w:pPr>
        <w:spacing w:after="120"/>
        <w:jc w:val="both"/>
        <w:rPr>
          <w:rFonts w:asciiTheme="majorHAnsi" w:hAnsiTheme="majorHAnsi" w:cstheme="majorHAnsi"/>
          <w:sz w:val="26"/>
          <w:szCs w:val="26"/>
        </w:rPr>
      </w:pPr>
      <w:r w:rsidRPr="00120093">
        <w:rPr>
          <w:rFonts w:asciiTheme="majorHAnsi" w:hAnsiTheme="majorHAnsi" w:cstheme="majorHAnsi"/>
          <w:b/>
          <w:bCs/>
          <w:sz w:val="26"/>
          <w:szCs w:val="26"/>
        </w:rPr>
        <w:t>Pháp luật hiện hành đã công nhận quyền tự đánh giá sự phù hợp của doanh nghiệp.</w:t>
      </w:r>
    </w:p>
    <w:p w14:paraId="753815E0" w14:textId="4E0E5D23" w:rsidR="00CC6445" w:rsidRPr="00120093" w:rsidRDefault="00CC6445" w:rsidP="006B0306">
      <w:pPr>
        <w:spacing w:after="120"/>
        <w:jc w:val="both"/>
        <w:rPr>
          <w:rFonts w:asciiTheme="majorHAnsi" w:hAnsiTheme="majorHAnsi" w:cstheme="majorHAnsi"/>
          <w:sz w:val="26"/>
          <w:szCs w:val="26"/>
        </w:rPr>
      </w:pPr>
      <w:r w:rsidRPr="00120093">
        <w:rPr>
          <w:rFonts w:asciiTheme="majorHAnsi" w:hAnsiTheme="majorHAnsi" w:cstheme="majorHAnsi"/>
          <w:sz w:val="26"/>
          <w:szCs w:val="26"/>
        </w:rPr>
        <w:t>Khoản 2 và khoản 4 Điều 5 Luật Chất lượng sản phẩm, hàng hóa (sửa đổi bởi Luật số 78/2025/QH15) quy định quản lý sản phẩm theo mức độ rủi ro, cho phép doanh nghiệp tự đánh giá sự phù hợp đối với sản phẩm có rủi ro trung bình.</w:t>
      </w:r>
    </w:p>
    <w:p w14:paraId="03AC295D" w14:textId="77777777" w:rsidR="00CC6445" w:rsidRPr="00581DC2" w:rsidRDefault="00CC6445" w:rsidP="006B0306">
      <w:pPr>
        <w:spacing w:after="120"/>
        <w:jc w:val="both"/>
        <w:rPr>
          <w:rFonts w:asciiTheme="majorHAnsi" w:hAnsiTheme="majorHAnsi" w:cstheme="majorHAnsi"/>
          <w:sz w:val="26"/>
          <w:szCs w:val="26"/>
        </w:rPr>
      </w:pPr>
      <w:r w:rsidRPr="00120093">
        <w:rPr>
          <w:rFonts w:asciiTheme="majorHAnsi" w:hAnsiTheme="majorHAnsi" w:cstheme="majorHAnsi"/>
          <w:sz w:val="26"/>
          <w:szCs w:val="26"/>
        </w:rPr>
        <w:t xml:space="preserve">Đồng thời, khoản 1 Điều 41 và điểm c khoản 1 Điều 48 Luật Tiêu chuẩn và Quy chuẩn kỹ thuật (sửa đổi bởi Luật số 70/2025/QH15) </w:t>
      </w:r>
      <w:r w:rsidRPr="00581DC2">
        <w:rPr>
          <w:rFonts w:asciiTheme="majorHAnsi" w:hAnsiTheme="majorHAnsi" w:cstheme="majorHAnsi"/>
          <w:sz w:val="26"/>
          <w:szCs w:val="26"/>
        </w:rPr>
        <w:t>cho phép doanh nghiệp tự đánh giá và công bố sự phù hợp trên cơ sở kết quả thử nghiệm hợp lệ theo quy định.</w:t>
      </w:r>
    </w:p>
    <w:p w14:paraId="3804BDE4" w14:textId="42A00047" w:rsidR="00456B70" w:rsidRPr="00456B70" w:rsidRDefault="00456B70" w:rsidP="006B0306">
      <w:pPr>
        <w:spacing w:after="120"/>
        <w:jc w:val="both"/>
        <w:rPr>
          <w:rFonts w:asciiTheme="majorHAnsi" w:hAnsiTheme="majorHAnsi" w:cstheme="majorHAnsi"/>
          <w:b/>
          <w:bCs/>
          <w:sz w:val="26"/>
          <w:szCs w:val="26"/>
        </w:rPr>
      </w:pPr>
      <w:r w:rsidRPr="00456B70">
        <w:rPr>
          <w:rFonts w:asciiTheme="majorHAnsi" w:hAnsiTheme="majorHAnsi" w:cstheme="majorHAnsi"/>
          <w:b/>
          <w:bCs/>
          <w:sz w:val="26"/>
          <w:szCs w:val="26"/>
        </w:rPr>
        <w:t xml:space="preserve">Kiến nghị </w:t>
      </w:r>
    </w:p>
    <w:p w14:paraId="28F5A414" w14:textId="0DDF17C8" w:rsidR="00456B70" w:rsidRPr="00456B70" w:rsidRDefault="001A5115" w:rsidP="006B0306">
      <w:pPr>
        <w:spacing w:after="120"/>
        <w:jc w:val="both"/>
        <w:rPr>
          <w:rFonts w:asciiTheme="majorHAnsi" w:hAnsiTheme="majorHAnsi" w:cstheme="majorHAnsi"/>
          <w:sz w:val="26"/>
          <w:szCs w:val="26"/>
        </w:rPr>
      </w:pPr>
      <w:r>
        <w:rPr>
          <w:rFonts w:asciiTheme="majorHAnsi" w:hAnsiTheme="majorHAnsi" w:cstheme="majorHAnsi"/>
          <w:sz w:val="26"/>
          <w:szCs w:val="26"/>
        </w:rPr>
        <w:t>VUSTA</w:t>
      </w:r>
      <w:r w:rsidRPr="001A5115">
        <w:rPr>
          <w:rFonts w:asciiTheme="majorHAnsi" w:hAnsiTheme="majorHAnsi" w:cstheme="majorHAnsi"/>
          <w:sz w:val="26"/>
          <w:szCs w:val="26"/>
        </w:rPr>
        <w:t xml:space="preserve"> </w:t>
      </w:r>
      <w:r w:rsidR="00456B70" w:rsidRPr="00456B70">
        <w:rPr>
          <w:rFonts w:asciiTheme="majorHAnsi" w:hAnsiTheme="majorHAnsi" w:cstheme="majorHAnsi"/>
          <w:sz w:val="26"/>
          <w:szCs w:val="26"/>
        </w:rPr>
        <w:t xml:space="preserve">đề nghị </w:t>
      </w:r>
      <w:r w:rsidR="00456B70" w:rsidRPr="00456B70">
        <w:rPr>
          <w:rFonts w:asciiTheme="majorHAnsi" w:hAnsiTheme="majorHAnsi" w:cstheme="majorHAnsi"/>
          <w:b/>
          <w:bCs/>
          <w:sz w:val="26"/>
          <w:szCs w:val="26"/>
        </w:rPr>
        <w:t>thống nhất quy định của Nghị định với Luật; chấp nhận kết quả thử nghiệm hợp lệ mà không bắt buộc phải có kết luận “đạt hoặc không đạt” trong mọi trường hợp</w:t>
      </w:r>
      <w:r w:rsidR="00456B70" w:rsidRPr="00456B70">
        <w:rPr>
          <w:rFonts w:asciiTheme="majorHAnsi" w:hAnsiTheme="majorHAnsi" w:cstheme="majorHAnsi"/>
          <w:sz w:val="26"/>
          <w:szCs w:val="26"/>
        </w:rPr>
        <w:t>.</w:t>
      </w:r>
    </w:p>
    <w:p w14:paraId="72A45B58" w14:textId="29A61967" w:rsidR="00456B70" w:rsidRPr="00CF6E66" w:rsidRDefault="00456B70" w:rsidP="006B0306">
      <w:pPr>
        <w:spacing w:after="120"/>
        <w:jc w:val="both"/>
        <w:rPr>
          <w:rFonts w:asciiTheme="majorHAnsi" w:hAnsiTheme="majorHAnsi" w:cstheme="majorHAnsi"/>
          <w:sz w:val="26"/>
          <w:szCs w:val="26"/>
        </w:rPr>
      </w:pPr>
      <w:r w:rsidRPr="00456B70">
        <w:rPr>
          <w:rFonts w:asciiTheme="majorHAnsi" w:hAnsiTheme="majorHAnsi" w:cstheme="majorHAnsi"/>
          <w:sz w:val="26"/>
          <w:szCs w:val="26"/>
        </w:rPr>
        <w:t xml:space="preserve">Đồng thời, </w:t>
      </w:r>
      <w:r w:rsidRPr="00456B70">
        <w:rPr>
          <w:rFonts w:asciiTheme="majorHAnsi" w:hAnsiTheme="majorHAnsi" w:cstheme="majorHAnsi"/>
          <w:b/>
          <w:bCs/>
          <w:sz w:val="26"/>
          <w:szCs w:val="26"/>
        </w:rPr>
        <w:t>bảo đảm quyền tự đánh giá sự phù hợp và trách nhiệm của doanh nghiệp theo quy định pháp luật</w:t>
      </w:r>
      <w:r w:rsidR="00CF6E66" w:rsidRPr="00CF6E66">
        <w:rPr>
          <w:rFonts w:asciiTheme="majorHAnsi" w:hAnsiTheme="majorHAnsi" w:cstheme="majorHAnsi"/>
          <w:sz w:val="26"/>
          <w:szCs w:val="26"/>
        </w:rPr>
        <w:t xml:space="preserve">. </w:t>
      </w:r>
    </w:p>
    <w:p w14:paraId="52C8A6B3" w14:textId="77777777" w:rsidR="006111AE" w:rsidRPr="006111AE" w:rsidRDefault="006111AE" w:rsidP="006B0306">
      <w:pPr>
        <w:spacing w:after="120"/>
        <w:jc w:val="both"/>
        <w:rPr>
          <w:rFonts w:asciiTheme="majorHAnsi" w:hAnsiTheme="majorHAnsi" w:cstheme="majorHAnsi"/>
          <w:b/>
          <w:bCs/>
          <w:sz w:val="26"/>
          <w:szCs w:val="26"/>
        </w:rPr>
      </w:pPr>
      <w:r w:rsidRPr="006111AE">
        <w:rPr>
          <w:rFonts w:asciiTheme="majorHAnsi" w:hAnsiTheme="majorHAnsi" w:cstheme="majorHAnsi"/>
          <w:b/>
          <w:bCs/>
          <w:sz w:val="26"/>
          <w:szCs w:val="26"/>
        </w:rPr>
        <w:t>7. Bắt buộc tăng cường vi chất phải có căn cứ khoa học, tránh dư thừa và thay đổi công thức không cần thiết</w:t>
      </w:r>
    </w:p>
    <w:p w14:paraId="76B004D4"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b/>
          <w:bCs/>
          <w:sz w:val="26"/>
          <w:szCs w:val="26"/>
        </w:rPr>
        <w:t>Thứ nhất, tăng cường vi chất không đúng nhu cầu có thể dẫn đến dư thừa và ảnh hưởng sức khỏe.</w:t>
      </w:r>
    </w:p>
    <w:p w14:paraId="59B6371E"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sz w:val="26"/>
          <w:szCs w:val="26"/>
        </w:rPr>
        <w:t xml:space="preserve">Nhu cầu vi chất khác nhau theo độ tuổi, tình trạng sức khỏe và khẩu phần ăn. Nếu bắt buộc bổ sung đại trà mà không đánh giá tình trạng thiếu hụt và tổng lượng vi chất tiếp nhận từ các nguồn thực phẩm, </w:t>
      </w:r>
      <w:r w:rsidRPr="006111AE">
        <w:rPr>
          <w:rFonts w:asciiTheme="majorHAnsi" w:hAnsiTheme="majorHAnsi" w:cstheme="majorHAnsi"/>
          <w:b/>
          <w:bCs/>
          <w:sz w:val="26"/>
          <w:szCs w:val="26"/>
        </w:rPr>
        <w:t>có nguy cơ dẫn đến dư thừa, đặc biệt đối với trẻ em</w:t>
      </w:r>
      <w:r w:rsidRPr="006111AE">
        <w:rPr>
          <w:rFonts w:asciiTheme="majorHAnsi" w:hAnsiTheme="majorHAnsi" w:cstheme="majorHAnsi"/>
          <w:sz w:val="26"/>
          <w:szCs w:val="26"/>
        </w:rPr>
        <w:t>. Bổ sung nhiều hơn không đồng nghĩa với lợi ích dinh dưỡng cao hơn.</w:t>
      </w:r>
    </w:p>
    <w:p w14:paraId="3E6D6EB6"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b/>
          <w:bCs/>
          <w:sz w:val="26"/>
          <w:szCs w:val="26"/>
        </w:rPr>
        <w:t>Thứ hai, bắt buộc bổ sung vi chất có thể phá vỡ công thức dinh dưỡng đã được nghiên cứu và kiểm chứng.</w:t>
      </w:r>
    </w:p>
    <w:p w14:paraId="073D1CC7"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sz w:val="26"/>
          <w:szCs w:val="26"/>
        </w:rPr>
        <w:t xml:space="preserve">Đối với sản phẩm dinh dưỡng trẻ em và sản phẩm có công thức chuyên biệt, việc bổ sung vi chất có thể làm thay đổi cân bằng dinh dưỡng, tương tác thành phần, mùi vị và độ ổn định. </w:t>
      </w:r>
      <w:r w:rsidRPr="006111AE">
        <w:rPr>
          <w:rFonts w:asciiTheme="majorHAnsi" w:hAnsiTheme="majorHAnsi" w:cstheme="majorHAnsi"/>
          <w:b/>
          <w:bCs/>
          <w:sz w:val="26"/>
          <w:szCs w:val="26"/>
        </w:rPr>
        <w:t>Một công thức đang đáp ứng yêu cầu an toàn và dinh dưỡng có thể phải nghiên cứu, thử nghiệm lại mà chưa chắc mang lại lợi ích sức khỏe tăng thêm.</w:t>
      </w:r>
    </w:p>
    <w:p w14:paraId="4E85BDE8"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b/>
          <w:bCs/>
          <w:sz w:val="26"/>
          <w:szCs w:val="26"/>
        </w:rPr>
        <w:t>Thứ ba, yêu cầu công thức riêng cho Việt Nam có thể làm tăng giá và thu hẹp nguồn cung.</w:t>
      </w:r>
    </w:p>
    <w:p w14:paraId="7BD34F49"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sz w:val="26"/>
          <w:szCs w:val="26"/>
        </w:rPr>
        <w:t xml:space="preserve">Nhiều sản phẩm được sản xuất theo công thức chung cho nhiều quốc gia. Nếu Việt Nam yêu cầu tăng cường vi chất riêng, doanh nghiệp phải thay đổi công thức, thử nghiệm, điều chỉnh dây chuyền và đăng ký lại. </w:t>
      </w:r>
      <w:r w:rsidRPr="006111AE">
        <w:rPr>
          <w:rFonts w:asciiTheme="majorHAnsi" w:hAnsiTheme="majorHAnsi" w:cstheme="majorHAnsi"/>
          <w:b/>
          <w:bCs/>
          <w:sz w:val="26"/>
          <w:szCs w:val="26"/>
        </w:rPr>
        <w:t>Khi chi phí không tương xứng với quy mô thị trường, nhà sản xuất có thể ngừng cung ứng, khiến người tiêu dùng phải trả giá cao hơn hoặc có ít lựa chọn hơn.</w:t>
      </w:r>
    </w:p>
    <w:p w14:paraId="749593D6" w14:textId="1A7520C0" w:rsidR="006111AE" w:rsidRPr="006111AE" w:rsidRDefault="006111AE" w:rsidP="006B0306">
      <w:pPr>
        <w:spacing w:after="120"/>
        <w:jc w:val="both"/>
        <w:rPr>
          <w:rFonts w:asciiTheme="majorHAnsi" w:hAnsiTheme="majorHAnsi" w:cstheme="majorHAnsi"/>
          <w:b/>
          <w:bCs/>
          <w:sz w:val="26"/>
          <w:szCs w:val="26"/>
        </w:rPr>
      </w:pPr>
      <w:r w:rsidRPr="006111AE">
        <w:rPr>
          <w:rFonts w:asciiTheme="majorHAnsi" w:hAnsiTheme="majorHAnsi" w:cstheme="majorHAnsi"/>
          <w:b/>
          <w:bCs/>
          <w:sz w:val="26"/>
          <w:szCs w:val="26"/>
        </w:rPr>
        <w:t xml:space="preserve">Kiến nghị </w:t>
      </w:r>
    </w:p>
    <w:p w14:paraId="29555D5F"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b/>
          <w:bCs/>
          <w:sz w:val="26"/>
          <w:szCs w:val="26"/>
        </w:rPr>
        <w:lastRenderedPageBreak/>
        <w:t>Chỉ quy định bắt buộc tăng cường vi chất khi có bằng chứng khoa học về tình trạng thiếu hụt, xác định rõ nhóm dân cư cần can thiệp và đánh giá tổng lượng vi chất tiếp nhận để tránh dư thừa.</w:t>
      </w:r>
    </w:p>
    <w:p w14:paraId="4AEBDD41" w14:textId="77777777" w:rsidR="006111AE" w:rsidRPr="006111AE" w:rsidRDefault="006111AE" w:rsidP="006B0306">
      <w:pPr>
        <w:spacing w:after="120"/>
        <w:jc w:val="both"/>
        <w:rPr>
          <w:rFonts w:asciiTheme="majorHAnsi" w:hAnsiTheme="majorHAnsi" w:cstheme="majorHAnsi"/>
          <w:sz w:val="26"/>
          <w:szCs w:val="26"/>
        </w:rPr>
      </w:pPr>
      <w:r w:rsidRPr="006111AE">
        <w:rPr>
          <w:rFonts w:asciiTheme="majorHAnsi" w:hAnsiTheme="majorHAnsi" w:cstheme="majorHAnsi"/>
          <w:b/>
          <w:bCs/>
          <w:sz w:val="26"/>
          <w:szCs w:val="26"/>
        </w:rPr>
        <w:t>Không áp dụng đại trà đối với sản phẩm đã đáp ứng yêu cầu dinh dưỡng và an toàn</w:t>
      </w:r>
      <w:r w:rsidRPr="006111AE">
        <w:rPr>
          <w:rFonts w:asciiTheme="majorHAnsi" w:hAnsiTheme="majorHAnsi" w:cstheme="majorHAnsi"/>
          <w:sz w:val="26"/>
          <w:szCs w:val="26"/>
        </w:rPr>
        <w:t>, đặc biệt là công thức dinh dưỡng trẻ em và sản phẩm chuyên biệt. Đồng thời, cần đánh giá đầy đủ lợi ích sức khỏe, chi phí tuân thủ và nguy cơ gián đoạn nguồn cung trước khi ban hành quy định.</w:t>
      </w:r>
    </w:p>
    <w:p w14:paraId="286EAC08" w14:textId="77777777" w:rsidR="00DE20FA" w:rsidRPr="00DE20FA" w:rsidRDefault="00DE20FA" w:rsidP="006B0306">
      <w:pPr>
        <w:spacing w:after="120"/>
        <w:jc w:val="both"/>
        <w:rPr>
          <w:rFonts w:asciiTheme="majorHAnsi" w:hAnsiTheme="majorHAnsi" w:cstheme="majorHAnsi"/>
          <w:b/>
          <w:bCs/>
          <w:sz w:val="26"/>
          <w:szCs w:val="26"/>
        </w:rPr>
      </w:pPr>
      <w:r w:rsidRPr="00DE20FA">
        <w:rPr>
          <w:rFonts w:asciiTheme="majorHAnsi" w:hAnsiTheme="majorHAnsi" w:cstheme="majorHAnsi"/>
          <w:b/>
          <w:bCs/>
          <w:sz w:val="26"/>
          <w:szCs w:val="26"/>
        </w:rPr>
        <w:t>8. Chuyển tiếp về ghi nhãn phải cho phép sử dụng bao bì hợp pháp và bổ sung thông tin linh hoạt</w:t>
      </w:r>
    </w:p>
    <w:p w14:paraId="7AE06E90" w14:textId="66542ED3" w:rsidR="00D43633" w:rsidRPr="00D43633" w:rsidRDefault="00130C5A" w:rsidP="006B0306">
      <w:pPr>
        <w:spacing w:after="120"/>
        <w:jc w:val="both"/>
        <w:rPr>
          <w:rFonts w:asciiTheme="majorHAnsi" w:hAnsiTheme="majorHAnsi" w:cstheme="majorHAnsi"/>
          <w:sz w:val="26"/>
          <w:szCs w:val="26"/>
        </w:rPr>
      </w:pPr>
      <w:r w:rsidRPr="002619B0">
        <w:rPr>
          <w:rFonts w:asciiTheme="majorHAnsi" w:hAnsiTheme="majorHAnsi" w:cstheme="majorHAnsi"/>
          <w:b/>
          <w:bCs/>
          <w:sz w:val="26"/>
          <w:szCs w:val="26"/>
        </w:rPr>
        <w:t>K</w:t>
      </w:r>
      <w:r w:rsidR="00D43633" w:rsidRPr="00D43633">
        <w:rPr>
          <w:rFonts w:asciiTheme="majorHAnsi" w:hAnsiTheme="majorHAnsi" w:cstheme="majorHAnsi"/>
          <w:b/>
          <w:bCs/>
          <w:sz w:val="26"/>
          <w:szCs w:val="26"/>
        </w:rPr>
        <w:t>hông nên bắt buộc ghi số đăng ký sản phẩm trên nhãn hàng hóa vì không làm tăng mức độ an toàn thực phẩm, nhưng gây tốn kém và cản trở sản xuất, nhập khẩu.</w:t>
      </w:r>
    </w:p>
    <w:p w14:paraId="0EFE8712" w14:textId="77777777" w:rsidR="00D43633" w:rsidRPr="00D43633" w:rsidRDefault="00D43633" w:rsidP="006B0306">
      <w:pPr>
        <w:spacing w:after="120"/>
        <w:jc w:val="both"/>
        <w:rPr>
          <w:rFonts w:asciiTheme="majorHAnsi" w:hAnsiTheme="majorHAnsi" w:cstheme="majorHAnsi"/>
          <w:sz w:val="26"/>
          <w:szCs w:val="26"/>
        </w:rPr>
      </w:pPr>
      <w:r w:rsidRPr="00D43633">
        <w:rPr>
          <w:rFonts w:asciiTheme="majorHAnsi" w:hAnsiTheme="majorHAnsi" w:cstheme="majorHAnsi"/>
          <w:sz w:val="26"/>
          <w:szCs w:val="26"/>
        </w:rPr>
        <w:t xml:space="preserve">Số đăng ký là thông tin phục vụ quản lý hành chính, không phải thông tin thiết yếu để người tiêu dùng lựa chọn và sử dụng thực phẩm an toàn. </w:t>
      </w:r>
      <w:r w:rsidRPr="00D43633">
        <w:rPr>
          <w:rFonts w:asciiTheme="majorHAnsi" w:hAnsiTheme="majorHAnsi" w:cstheme="majorHAnsi"/>
          <w:b/>
          <w:bCs/>
          <w:sz w:val="26"/>
          <w:szCs w:val="26"/>
        </w:rPr>
        <w:t>Việc in số đăng ký trên nhãn không làm sản phẩm an toàn hơn</w:t>
      </w:r>
      <w:r w:rsidRPr="00D43633">
        <w:rPr>
          <w:rFonts w:asciiTheme="majorHAnsi" w:hAnsiTheme="majorHAnsi" w:cstheme="majorHAnsi"/>
          <w:sz w:val="26"/>
          <w:szCs w:val="26"/>
        </w:rPr>
        <w:t>, trong khi cơ quan quản lý có thể tra cứu tình trạng đăng ký qua cơ sở dữ liệu điện tử.</w:t>
      </w:r>
    </w:p>
    <w:p w14:paraId="559081A6" w14:textId="77777777" w:rsidR="00D43633" w:rsidRPr="00D43633" w:rsidRDefault="00D43633" w:rsidP="006B0306">
      <w:pPr>
        <w:spacing w:after="120"/>
        <w:jc w:val="both"/>
        <w:rPr>
          <w:rFonts w:asciiTheme="majorHAnsi" w:hAnsiTheme="majorHAnsi" w:cstheme="majorHAnsi"/>
          <w:sz w:val="26"/>
          <w:szCs w:val="26"/>
        </w:rPr>
      </w:pPr>
      <w:r w:rsidRPr="00D43633">
        <w:rPr>
          <w:rFonts w:asciiTheme="majorHAnsi" w:hAnsiTheme="majorHAnsi" w:cstheme="majorHAnsi"/>
          <w:sz w:val="26"/>
          <w:szCs w:val="26"/>
        </w:rPr>
        <w:t>Trên thực tế, bao bì thường được thiết kế và đặt in trước nhiều tháng, khi doanh nghiệp chưa được cấp số đăng ký. Nếu bắt buộc ghi số này, doanh nghiệp phải chờ cấp phép mới hoàn thiện bao bì hoặc phát sinh thêm công đoạn in bổ sung, dán nhãn phụ. Đặc biệt, đối với sản phẩm nhập khẩu sử dụng bao bì chung cho nhiều thị trường, yêu cầu riêng của Việt Nam có thể buộc nhà sản xuất thay đổi bao bì chỉ để bổ sung một mã số hành chính, làm tăng chi phí và chậm kế hoạch sản xuất, cung ứng.</w:t>
      </w:r>
    </w:p>
    <w:p w14:paraId="23CA9B6B" w14:textId="77777777" w:rsidR="00D43633" w:rsidRPr="00D43633" w:rsidRDefault="00D43633" w:rsidP="006B0306">
      <w:pPr>
        <w:spacing w:after="120"/>
        <w:jc w:val="both"/>
        <w:rPr>
          <w:rFonts w:asciiTheme="majorHAnsi" w:hAnsiTheme="majorHAnsi" w:cstheme="majorHAnsi"/>
          <w:sz w:val="26"/>
          <w:szCs w:val="26"/>
        </w:rPr>
      </w:pPr>
      <w:r w:rsidRPr="00D43633">
        <w:rPr>
          <w:rFonts w:asciiTheme="majorHAnsi" w:hAnsiTheme="majorHAnsi" w:cstheme="majorHAnsi"/>
          <w:sz w:val="26"/>
          <w:szCs w:val="26"/>
        </w:rPr>
        <w:t xml:space="preserve">Ngoài ra, khoản 13 Điều 74 dự thảo Luật quy định thời hạn chuyển tiếp hai năm đối với nhãn chưa có số đăng ký hoặc số tiếp nhận. </w:t>
      </w:r>
      <w:r w:rsidRPr="00D43633">
        <w:rPr>
          <w:rFonts w:asciiTheme="majorHAnsi" w:hAnsiTheme="majorHAnsi" w:cstheme="majorHAnsi"/>
          <w:b/>
          <w:bCs/>
          <w:sz w:val="26"/>
          <w:szCs w:val="26"/>
        </w:rPr>
        <w:t>Sau thời hạn này, doanh nghiệp có nguy cơ phải in lại hoặc loại bỏ bao bì đang sử dụng hợp pháp</w:t>
      </w:r>
      <w:r w:rsidRPr="00D43633">
        <w:rPr>
          <w:rFonts w:asciiTheme="majorHAnsi" w:hAnsiTheme="majorHAnsi" w:cstheme="majorHAnsi"/>
          <w:sz w:val="26"/>
          <w:szCs w:val="26"/>
        </w:rPr>
        <w:t>, gây lãng phí nguyên liệu, phát sinh chất thải mà không mang lại lợi ích an toàn thực phẩm tương xứng.</w:t>
      </w:r>
    </w:p>
    <w:p w14:paraId="2EB910BE" w14:textId="1B39CCEF" w:rsidR="00D43633" w:rsidRPr="00D43633" w:rsidRDefault="001A5115" w:rsidP="006B0306">
      <w:pPr>
        <w:spacing w:after="120"/>
        <w:jc w:val="both"/>
        <w:rPr>
          <w:rFonts w:asciiTheme="majorHAnsi" w:hAnsiTheme="majorHAnsi" w:cstheme="majorHAnsi"/>
          <w:sz w:val="26"/>
          <w:szCs w:val="26"/>
        </w:rPr>
      </w:pPr>
      <w:r w:rsidRPr="00C138E4">
        <w:rPr>
          <w:rFonts w:asciiTheme="majorHAnsi" w:hAnsiTheme="majorHAnsi" w:cstheme="majorHAnsi"/>
          <w:b/>
          <w:bCs/>
          <w:sz w:val="26"/>
          <w:szCs w:val="26"/>
        </w:rPr>
        <w:t>VUSTA</w:t>
      </w:r>
      <w:r w:rsidR="002D286F" w:rsidRPr="00C138E4">
        <w:rPr>
          <w:rFonts w:asciiTheme="majorHAnsi" w:hAnsiTheme="majorHAnsi" w:cstheme="majorHAnsi"/>
          <w:b/>
          <w:bCs/>
          <w:sz w:val="26"/>
          <w:szCs w:val="26"/>
        </w:rPr>
        <w:t xml:space="preserve"> </w:t>
      </w:r>
      <w:r w:rsidR="00D43633" w:rsidRPr="00C138E4">
        <w:rPr>
          <w:rFonts w:asciiTheme="majorHAnsi" w:hAnsiTheme="majorHAnsi" w:cstheme="majorHAnsi"/>
          <w:b/>
          <w:bCs/>
          <w:sz w:val="26"/>
          <w:szCs w:val="26"/>
        </w:rPr>
        <w:t>đề nghị bỏ nghĩa vụ bắt buộc ghi số đăng ký hoặc số tiếp nhận trên nhãn, bao bì và tài liệu kèm theo sản phẩm; sửa đổi tương ứng khoản 7 Điều 12 và khoản 13 Điều 74 dự thảo Luật.</w:t>
      </w:r>
      <w:r w:rsidR="00D43633" w:rsidRPr="00D43633">
        <w:rPr>
          <w:rFonts w:asciiTheme="majorHAnsi" w:hAnsiTheme="majorHAnsi" w:cstheme="majorHAnsi"/>
          <w:sz w:val="26"/>
          <w:szCs w:val="26"/>
        </w:rPr>
        <w:t xml:space="preserve"> Thay vào đó, công khai thông tin đăng ký trên cơ sở dữ liệu điện tử để cơ quan quản lý và người tiêu dùng tra cứu khi cần thiết. Doanh nghiệp vẫn chịu trách nhiệm về tính hợp pháp, chất lượng và an toàn của sản phẩm, đồng thời cung cấp thông tin đăng ký khi cơ quan có thẩm quyền yêu cầu.</w:t>
      </w:r>
    </w:p>
    <w:p w14:paraId="337B6221" w14:textId="77777777" w:rsidR="006E69CE" w:rsidRPr="006E69CE" w:rsidRDefault="006E69CE" w:rsidP="006B0306">
      <w:pPr>
        <w:spacing w:after="120"/>
        <w:jc w:val="both"/>
        <w:rPr>
          <w:rFonts w:asciiTheme="majorHAnsi" w:hAnsiTheme="majorHAnsi" w:cstheme="majorHAnsi"/>
          <w:b/>
          <w:bCs/>
          <w:sz w:val="26"/>
          <w:szCs w:val="26"/>
        </w:rPr>
      </w:pPr>
      <w:r w:rsidRPr="006E69CE">
        <w:rPr>
          <w:rFonts w:asciiTheme="majorHAnsi" w:hAnsiTheme="majorHAnsi" w:cstheme="majorHAnsi"/>
          <w:b/>
          <w:bCs/>
          <w:sz w:val="26"/>
          <w:szCs w:val="26"/>
        </w:rPr>
        <w:t>9. Định nghĩa sản phẩm phải đúng bản chất khoa học, tránh phân loại sai và phát sinh thủ tục</w:t>
      </w:r>
      <w:bookmarkStart w:id="0" w:name="_GoBack"/>
      <w:bookmarkEnd w:id="0"/>
    </w:p>
    <w:p w14:paraId="1F70581E" w14:textId="77777777" w:rsidR="006E69CE" w:rsidRPr="006E69CE" w:rsidRDefault="006E69CE" w:rsidP="006B0306">
      <w:pPr>
        <w:spacing w:after="120"/>
        <w:jc w:val="both"/>
        <w:rPr>
          <w:rFonts w:asciiTheme="majorHAnsi" w:hAnsiTheme="majorHAnsi" w:cstheme="majorHAnsi"/>
          <w:sz w:val="26"/>
          <w:szCs w:val="26"/>
        </w:rPr>
      </w:pPr>
      <w:r w:rsidRPr="006E69CE">
        <w:rPr>
          <w:rFonts w:asciiTheme="majorHAnsi" w:hAnsiTheme="majorHAnsi" w:cstheme="majorHAnsi"/>
          <w:b/>
          <w:bCs/>
          <w:sz w:val="26"/>
          <w:szCs w:val="26"/>
        </w:rPr>
        <w:t>Thứ nhất, bỏ tiêu chí phân liều có thể khiến thực phẩm thông thường bị phân loại thành thực phẩm bảo vệ sức khỏe.</w:t>
      </w:r>
    </w:p>
    <w:p w14:paraId="33F13F5B" w14:textId="77777777" w:rsidR="006E69CE" w:rsidRPr="006E69CE" w:rsidRDefault="006E69CE" w:rsidP="006B0306">
      <w:pPr>
        <w:spacing w:after="120"/>
        <w:jc w:val="both"/>
        <w:rPr>
          <w:rFonts w:asciiTheme="majorHAnsi" w:hAnsiTheme="majorHAnsi" w:cstheme="majorHAnsi"/>
          <w:sz w:val="26"/>
          <w:szCs w:val="26"/>
        </w:rPr>
      </w:pPr>
      <w:r w:rsidRPr="006E69CE">
        <w:rPr>
          <w:rFonts w:asciiTheme="majorHAnsi" w:hAnsiTheme="majorHAnsi" w:cstheme="majorHAnsi"/>
          <w:sz w:val="26"/>
          <w:szCs w:val="26"/>
        </w:rPr>
        <w:t xml:space="preserve">Khoản 30 Điều 2 dự thảo Luật bỏ tiêu chí “phân liều thành các đơn vị liều nhỏ”, làm mờ ranh giới giữa thực phẩm bảo vệ sức khỏe và thực phẩm dinh dưỡng thông thường. </w:t>
      </w:r>
      <w:r w:rsidRPr="006E69CE">
        <w:rPr>
          <w:rFonts w:asciiTheme="majorHAnsi" w:hAnsiTheme="majorHAnsi" w:cstheme="majorHAnsi"/>
          <w:b/>
          <w:bCs/>
          <w:sz w:val="26"/>
          <w:szCs w:val="26"/>
        </w:rPr>
        <w:t>Sữa, đồ uống dinh dưỡng dùng hằng ngày có thể bị xếp thành thực phẩm bảo vệ sức khỏe</w:t>
      </w:r>
      <w:r w:rsidRPr="006E69CE">
        <w:rPr>
          <w:rFonts w:asciiTheme="majorHAnsi" w:hAnsiTheme="majorHAnsi" w:cstheme="majorHAnsi"/>
          <w:sz w:val="26"/>
          <w:szCs w:val="26"/>
        </w:rPr>
        <w:t xml:space="preserve"> chỉ vì chứa vitamin, khoáng chất hoặc thành phần có lợi, kéo theo yêu cầu đăng ký và điều kiện sản xuất nghiêm ngặt hơn dù mức độ nguy cơ không thay đổi.</w:t>
      </w:r>
    </w:p>
    <w:p w14:paraId="49185256" w14:textId="77777777" w:rsidR="006E69CE" w:rsidRPr="006E69CE" w:rsidRDefault="006E69CE" w:rsidP="006B0306">
      <w:pPr>
        <w:spacing w:after="120"/>
        <w:jc w:val="both"/>
        <w:rPr>
          <w:rFonts w:asciiTheme="majorHAnsi" w:hAnsiTheme="majorHAnsi" w:cstheme="majorHAnsi"/>
          <w:sz w:val="26"/>
          <w:szCs w:val="26"/>
        </w:rPr>
      </w:pPr>
      <w:r w:rsidRPr="006E69CE">
        <w:rPr>
          <w:rFonts w:asciiTheme="majorHAnsi" w:hAnsiTheme="majorHAnsi" w:cstheme="majorHAnsi"/>
          <w:b/>
          <w:bCs/>
          <w:sz w:val="26"/>
          <w:szCs w:val="26"/>
        </w:rPr>
        <w:lastRenderedPageBreak/>
        <w:t>Thứ hai, quy định giám sát y tế có thể hạn chế việc sử dụng thực phẩm dinh dưỡng y học tại nhà.</w:t>
      </w:r>
    </w:p>
    <w:p w14:paraId="451B83A2" w14:textId="77777777" w:rsidR="006E69CE" w:rsidRPr="006E69CE" w:rsidRDefault="006E69CE" w:rsidP="006B0306">
      <w:pPr>
        <w:spacing w:after="120"/>
        <w:jc w:val="both"/>
        <w:rPr>
          <w:rFonts w:asciiTheme="majorHAnsi" w:hAnsiTheme="majorHAnsi" w:cstheme="majorHAnsi"/>
          <w:sz w:val="26"/>
          <w:szCs w:val="26"/>
        </w:rPr>
      </w:pPr>
      <w:r w:rsidRPr="006E69CE">
        <w:rPr>
          <w:rFonts w:asciiTheme="majorHAnsi" w:hAnsiTheme="majorHAnsi" w:cstheme="majorHAnsi"/>
          <w:sz w:val="26"/>
          <w:szCs w:val="26"/>
        </w:rPr>
        <w:t xml:space="preserve">Khoản 33 Điều 2 có nguy cơ bị hiểu là nhân viên y tế phải trực tiếp giám sát mỗi lần sử dụng. </w:t>
      </w:r>
      <w:r w:rsidRPr="006E69CE">
        <w:rPr>
          <w:rFonts w:asciiTheme="majorHAnsi" w:hAnsiTheme="majorHAnsi" w:cstheme="majorHAnsi"/>
          <w:b/>
          <w:bCs/>
          <w:sz w:val="26"/>
          <w:szCs w:val="26"/>
        </w:rPr>
        <w:t>Cách hiểu này có thể gây khó khăn cho người bệnh mạn tính, người cao tuổi và trẻ em cần sử dụng sản phẩm tại nhà</w:t>
      </w:r>
      <w:r w:rsidRPr="006E69CE">
        <w:rPr>
          <w:rFonts w:asciiTheme="majorHAnsi" w:hAnsiTheme="majorHAnsi" w:cstheme="majorHAnsi"/>
          <w:sz w:val="26"/>
          <w:szCs w:val="26"/>
        </w:rPr>
        <w:t xml:space="preserve"> theo hướng dẫn của bác sĩ.</w:t>
      </w:r>
    </w:p>
    <w:p w14:paraId="6BD7DDAE" w14:textId="1377AD91" w:rsidR="006E69CE" w:rsidRPr="006E69CE" w:rsidRDefault="006E69CE" w:rsidP="006B0306">
      <w:pPr>
        <w:spacing w:after="120"/>
        <w:jc w:val="both"/>
        <w:rPr>
          <w:rFonts w:asciiTheme="majorHAnsi" w:hAnsiTheme="majorHAnsi" w:cstheme="majorHAnsi"/>
          <w:b/>
          <w:bCs/>
          <w:sz w:val="26"/>
          <w:szCs w:val="26"/>
        </w:rPr>
      </w:pPr>
      <w:r w:rsidRPr="006E69CE">
        <w:rPr>
          <w:rFonts w:asciiTheme="majorHAnsi" w:hAnsiTheme="majorHAnsi" w:cstheme="majorHAnsi"/>
          <w:b/>
          <w:bCs/>
          <w:sz w:val="26"/>
          <w:szCs w:val="26"/>
        </w:rPr>
        <w:t xml:space="preserve">Kiến nghị </w:t>
      </w:r>
    </w:p>
    <w:p w14:paraId="536056DE" w14:textId="493C78FA" w:rsidR="006E69CE" w:rsidRPr="006E69CE" w:rsidRDefault="001A5115" w:rsidP="006B0306">
      <w:pPr>
        <w:spacing w:after="120"/>
        <w:jc w:val="both"/>
        <w:rPr>
          <w:rFonts w:asciiTheme="majorHAnsi" w:hAnsiTheme="majorHAnsi" w:cstheme="majorHAnsi"/>
          <w:sz w:val="26"/>
          <w:szCs w:val="26"/>
        </w:rPr>
      </w:pPr>
      <w:r>
        <w:rPr>
          <w:rFonts w:asciiTheme="majorHAnsi" w:hAnsiTheme="majorHAnsi" w:cstheme="majorHAnsi"/>
          <w:sz w:val="26"/>
          <w:szCs w:val="26"/>
        </w:rPr>
        <w:t>VUSTA</w:t>
      </w:r>
      <w:r w:rsidR="002D286F" w:rsidRPr="002D286F">
        <w:rPr>
          <w:rFonts w:asciiTheme="majorHAnsi" w:hAnsiTheme="majorHAnsi" w:cstheme="majorHAnsi"/>
          <w:sz w:val="26"/>
          <w:szCs w:val="26"/>
        </w:rPr>
        <w:t xml:space="preserve">  </w:t>
      </w:r>
      <w:r w:rsidR="006E69CE" w:rsidRPr="006E69CE">
        <w:rPr>
          <w:rFonts w:asciiTheme="majorHAnsi" w:hAnsiTheme="majorHAnsi" w:cstheme="majorHAnsi"/>
          <w:sz w:val="26"/>
          <w:szCs w:val="26"/>
        </w:rPr>
        <w:t xml:space="preserve">đề nghị </w:t>
      </w:r>
      <w:r w:rsidR="006E69CE" w:rsidRPr="006E69CE">
        <w:rPr>
          <w:rFonts w:asciiTheme="majorHAnsi" w:hAnsiTheme="majorHAnsi" w:cstheme="majorHAnsi"/>
          <w:b/>
          <w:bCs/>
          <w:sz w:val="26"/>
          <w:szCs w:val="26"/>
        </w:rPr>
        <w:t>khôi phục tiêu chí phân liều trong định nghĩa thực phẩm bảo vệ sức khỏe</w:t>
      </w:r>
      <w:r w:rsidR="006E69CE" w:rsidRPr="006E69CE">
        <w:rPr>
          <w:rFonts w:asciiTheme="majorHAnsi" w:hAnsiTheme="majorHAnsi" w:cstheme="majorHAnsi"/>
          <w:sz w:val="26"/>
          <w:szCs w:val="26"/>
        </w:rPr>
        <w:t>, phân loại sản phẩm theo bản chất, mục đích sử dụng và dạng trình bày; không đưa thực phẩm, đồ uống dùng theo khẩu phần thông thường vào nhóm này chỉ vì có thành phần dinh dưỡng có lợi.</w:t>
      </w:r>
    </w:p>
    <w:p w14:paraId="31F169D3" w14:textId="77777777" w:rsidR="006E69CE" w:rsidRPr="006E69CE" w:rsidRDefault="006E69CE" w:rsidP="006B0306">
      <w:pPr>
        <w:spacing w:after="120"/>
        <w:jc w:val="both"/>
        <w:rPr>
          <w:rFonts w:asciiTheme="majorHAnsi" w:hAnsiTheme="majorHAnsi" w:cstheme="majorHAnsi"/>
          <w:sz w:val="26"/>
          <w:szCs w:val="26"/>
        </w:rPr>
      </w:pPr>
      <w:r w:rsidRPr="006E69CE">
        <w:rPr>
          <w:rFonts w:asciiTheme="majorHAnsi" w:hAnsiTheme="majorHAnsi" w:cstheme="majorHAnsi"/>
          <w:sz w:val="26"/>
          <w:szCs w:val="26"/>
        </w:rPr>
        <w:t xml:space="preserve">Đồng thời, </w:t>
      </w:r>
      <w:r w:rsidRPr="006E69CE">
        <w:rPr>
          <w:rFonts w:asciiTheme="majorHAnsi" w:hAnsiTheme="majorHAnsi" w:cstheme="majorHAnsi"/>
          <w:b/>
          <w:bCs/>
          <w:sz w:val="26"/>
          <w:szCs w:val="26"/>
        </w:rPr>
        <w:t>làm rõ giám sát y tế theo Codex CXS 180-1991</w:t>
      </w:r>
      <w:r w:rsidRPr="006E69CE">
        <w:rPr>
          <w:rFonts w:asciiTheme="majorHAnsi" w:hAnsiTheme="majorHAnsi" w:cstheme="majorHAnsi"/>
          <w:sz w:val="26"/>
          <w:szCs w:val="26"/>
        </w:rPr>
        <w:t>, cho phép sử dụng thực phẩm dinh dưỡng y học tại nhà theo hướng dẫn và theo dõi phù hợp, không bắt buộc nhân viên y tế hiện diện mỗi lần sử dụng.</w:t>
      </w:r>
    </w:p>
    <w:p w14:paraId="686E5093" w14:textId="77777777" w:rsidR="00C068A8" w:rsidRPr="000B2887" w:rsidRDefault="00C068A8" w:rsidP="006B0306">
      <w:pPr>
        <w:pStyle w:val="Heading1"/>
        <w:jc w:val="both"/>
        <w:rPr>
          <w:rFonts w:cstheme="majorHAnsi"/>
          <w:szCs w:val="26"/>
        </w:rPr>
      </w:pPr>
      <w:r w:rsidRPr="000B2887">
        <w:rPr>
          <w:rFonts w:cstheme="majorHAnsi"/>
          <w:bCs/>
          <w:szCs w:val="26"/>
        </w:rPr>
        <w:t>KẾT LUẬN VÀ KIẾN NGHỊ CHUNG</w:t>
      </w:r>
    </w:p>
    <w:p w14:paraId="445EA2FD" w14:textId="2FF9F925"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Qua chín nhóm vấn đề, </w:t>
      </w:r>
      <w:r w:rsidR="001A5115">
        <w:rPr>
          <w:rFonts w:asciiTheme="majorHAnsi" w:hAnsiTheme="majorHAnsi" w:cstheme="majorHAnsi"/>
          <w:color w:val="000000"/>
          <w:sz w:val="26"/>
          <w:szCs w:val="26"/>
        </w:rPr>
        <w:t>VUSTA</w:t>
      </w:r>
      <w:r w:rsidR="002D286F" w:rsidRPr="002D286F">
        <w:rPr>
          <w:rFonts w:asciiTheme="majorHAnsi" w:hAnsiTheme="majorHAnsi" w:cstheme="majorHAnsi"/>
          <w:color w:val="000000"/>
          <w:sz w:val="26"/>
          <w:szCs w:val="26"/>
        </w:rPr>
        <w:t xml:space="preserve"> </w:t>
      </w:r>
      <w:r w:rsidRPr="000B2887">
        <w:rPr>
          <w:rFonts w:asciiTheme="majorHAnsi" w:hAnsiTheme="majorHAnsi" w:cstheme="majorHAnsi"/>
          <w:color w:val="000000"/>
          <w:sz w:val="26"/>
          <w:szCs w:val="26"/>
        </w:rPr>
        <w:t>kính đề nghị Liên hiệp các Hội Khoa học và Kỹ thuật Việt Nam tổng hợp, kiến nghị Quốc hội, Chính phủ và cơ quan soạn thảo tập trung vào ba nội dung:</w:t>
      </w:r>
    </w:p>
    <w:p w14:paraId="7D9F9774" w14:textId="77777777" w:rsidR="00C068A8" w:rsidRPr="000B2887" w:rsidRDefault="00C068A8" w:rsidP="006B0306">
      <w:pPr>
        <w:pStyle w:val="Heading2"/>
        <w:snapToGrid w:val="0"/>
        <w:spacing w:before="0" w:after="80" w:line="240" w:lineRule="auto"/>
        <w:jc w:val="both"/>
        <w:rPr>
          <w:rFonts w:cstheme="majorHAnsi"/>
          <w:szCs w:val="26"/>
        </w:rPr>
      </w:pPr>
      <w:r w:rsidRPr="000B2887">
        <w:rPr>
          <w:rFonts w:cstheme="majorHAnsi"/>
          <w:bCs/>
          <w:szCs w:val="26"/>
        </w:rPr>
        <w:t>Thứ nhất, quản lý dựa trên nguy cơ và bằng chứng khoa học; loại bỏ thủ tục chưa chứng minh được sự cần thiết.</w:t>
      </w:r>
    </w:p>
    <w:p w14:paraId="6E822B48" w14:textId="77777777"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Mỗi yêu cầu đăng ký, phê duyệt, kiểm nghiệm hoặc thay đổi sản phẩm phải chứng minh được lợi ích bảo vệ sức khỏe tương xứng. Đề nghị </w:t>
      </w:r>
      <w:r w:rsidRPr="000B2887">
        <w:rPr>
          <w:rFonts w:asciiTheme="majorHAnsi" w:hAnsiTheme="majorHAnsi" w:cstheme="majorHAnsi"/>
          <w:b/>
          <w:color w:val="000000"/>
          <w:sz w:val="26"/>
          <w:szCs w:val="26"/>
        </w:rPr>
        <w:t>bỏ yêu cầu báo cáo nghiên cứu độ ổn định trong hồ sơ đăng ký thực phẩm</w:t>
      </w:r>
      <w:r w:rsidRPr="000B2887">
        <w:rPr>
          <w:rFonts w:asciiTheme="majorHAnsi" w:hAnsiTheme="majorHAnsi" w:cstheme="majorHAnsi"/>
          <w:color w:val="000000"/>
          <w:sz w:val="26"/>
          <w:szCs w:val="26"/>
        </w:rPr>
        <w:t xml:space="preserve"> và loại bỏ thủ tục trùng lặp; đồng thời tăng cường hậu kiểm theo nguy cơ, truy xuất nguồn gốc, cảnh báo sớm và xử lý nghiêm vi phạm.</w:t>
      </w:r>
    </w:p>
    <w:p w14:paraId="12C369F6" w14:textId="77777777" w:rsidR="00C068A8" w:rsidRPr="000B2887" w:rsidRDefault="00C068A8" w:rsidP="006B0306">
      <w:pPr>
        <w:pStyle w:val="Heading2"/>
        <w:snapToGrid w:val="0"/>
        <w:spacing w:before="0" w:after="80" w:line="240" w:lineRule="auto"/>
        <w:jc w:val="both"/>
        <w:rPr>
          <w:rFonts w:cstheme="majorHAnsi"/>
          <w:szCs w:val="26"/>
        </w:rPr>
      </w:pPr>
      <w:r w:rsidRPr="000B2887">
        <w:rPr>
          <w:rFonts w:cstheme="majorHAnsi"/>
          <w:bCs/>
          <w:szCs w:val="26"/>
        </w:rPr>
        <w:t>Thứ hai, bảo đảm pháp luật thống nhất, thủ tục minh bạch và cơ quan thực thi có trách nhiệm giải trình.</w:t>
      </w:r>
    </w:p>
    <w:p w14:paraId="6DC4BF22" w14:textId="77777777"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sz w:val="26"/>
          <w:szCs w:val="26"/>
        </w:rPr>
        <w:t>Các quy định phải bảo đảm quyền tự đánh giá sự phù hợp trong những trường hợp pháp luật cho phép, gắn với trách nhiệm của doanh nghiệp và phù hợp với cam kết quốc tế.</w:t>
      </w:r>
    </w:p>
    <w:p w14:paraId="2FE5611B" w14:textId="77777777"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color w:val="000000"/>
          <w:sz w:val="26"/>
          <w:szCs w:val="26"/>
        </w:rPr>
        <w:t xml:space="preserve">Cần </w:t>
      </w:r>
      <w:r w:rsidRPr="000B2887">
        <w:rPr>
          <w:rFonts w:asciiTheme="majorHAnsi" w:hAnsiTheme="majorHAnsi" w:cstheme="majorHAnsi"/>
          <w:b/>
          <w:color w:val="000000"/>
          <w:sz w:val="26"/>
          <w:szCs w:val="26"/>
        </w:rPr>
        <w:t>rút ngắn thời gian đăng ký và quy định thời hạn giải quyết tối đa cho toàn bộ thủ tục</w:t>
      </w:r>
      <w:r w:rsidRPr="000B2887">
        <w:rPr>
          <w:rFonts w:asciiTheme="majorHAnsi" w:hAnsiTheme="majorHAnsi" w:cstheme="majorHAnsi"/>
          <w:color w:val="000000"/>
          <w:sz w:val="26"/>
          <w:szCs w:val="26"/>
        </w:rPr>
        <w:t>, làm rõ tiêu chí thẩm định, căn cứ yêu cầu bổ sung và cơ chế xử lý hồ sơ quá hạn; đồng thời giám sát việc thực thi, kiểm soát xung đột lợi ích và phòng ngừa nhũng nhiễu.</w:t>
      </w:r>
    </w:p>
    <w:p w14:paraId="0DCB1610" w14:textId="77777777" w:rsidR="00C068A8" w:rsidRPr="000B2887" w:rsidRDefault="00C068A8" w:rsidP="006B0306">
      <w:pPr>
        <w:pStyle w:val="Heading2"/>
        <w:snapToGrid w:val="0"/>
        <w:spacing w:before="0" w:after="80" w:line="240" w:lineRule="auto"/>
        <w:jc w:val="both"/>
        <w:rPr>
          <w:rFonts w:cstheme="majorHAnsi"/>
          <w:szCs w:val="26"/>
        </w:rPr>
      </w:pPr>
      <w:r w:rsidRPr="000B2887">
        <w:rPr>
          <w:rFonts w:cstheme="majorHAnsi"/>
          <w:bCs/>
          <w:szCs w:val="26"/>
        </w:rPr>
        <w:t>Thứ ba, đánh giá đầy đủ tác động và bảo đảm chuỗi cung ứng không bị gián đoạn bởi thủ tục hành chính.</w:t>
      </w:r>
    </w:p>
    <w:p w14:paraId="431A21B4" w14:textId="77777777"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sz w:val="26"/>
          <w:szCs w:val="26"/>
        </w:rPr>
        <w:t>Trước khi mở rộng nghĩa vụ, cần lượng hóa chi phí tuân thủ, năng lực xử lý hồ sơ và kiểm nghiệm, nguy cơ ùn tắc, giảm hạn sử dụng và thiếu hụt nguồn cung.</w:t>
      </w:r>
    </w:p>
    <w:p w14:paraId="5C8BD194" w14:textId="77777777"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color w:val="000000"/>
          <w:sz w:val="26"/>
          <w:szCs w:val="26"/>
        </w:rPr>
        <w:t>Chuyển tiếp cần phù hợp chu kỳ sản xuất, nhập khẩu; bảo đảm doanh nghiệp nộp đầy đủ hồ sơ đúng hạn được tiếp tục kinh doanh khi chờ giải quyết, trừ trường hợp có căn cứ xử lý về an toàn thực phẩm. Cho phép tiếp tục sử dụng bao bì và hàng hóa hợp pháp, tránh lãng phí.</w:t>
      </w:r>
    </w:p>
    <w:p w14:paraId="7AF3F6C6" w14:textId="77777777"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b/>
          <w:bCs/>
          <w:sz w:val="26"/>
          <w:szCs w:val="26"/>
        </w:rPr>
        <w:t>Thước đo thành công của Luật là bảo vệ người dân tốt hơn, nâng cao hiệu quả kiểm soát nguy cơ và bảo đảm nguồn cung thực phẩm an toàn với chi phí hợp lý.</w:t>
      </w:r>
    </w:p>
    <w:p w14:paraId="7C4F0C3A" w14:textId="77777777" w:rsidR="00C068A8" w:rsidRPr="000B2887" w:rsidRDefault="00C068A8" w:rsidP="006B0306">
      <w:pPr>
        <w:snapToGrid w:val="0"/>
        <w:spacing w:after="80" w:line="240" w:lineRule="auto"/>
        <w:jc w:val="both"/>
        <w:rPr>
          <w:rFonts w:asciiTheme="majorHAnsi" w:hAnsiTheme="majorHAnsi" w:cstheme="majorHAnsi"/>
          <w:sz w:val="26"/>
          <w:szCs w:val="26"/>
        </w:rPr>
      </w:pPr>
      <w:r w:rsidRPr="000B2887">
        <w:rPr>
          <w:rFonts w:asciiTheme="majorHAnsi" w:hAnsiTheme="majorHAnsi" w:cstheme="majorHAnsi"/>
          <w:i/>
          <w:iCs/>
          <w:sz w:val="26"/>
          <w:szCs w:val="26"/>
        </w:rPr>
        <w:t>Xin trân trọng cảm ơn Hội nghị!</w:t>
      </w:r>
    </w:p>
    <w:sectPr w:rsidR="00C068A8" w:rsidRPr="000B2887" w:rsidSect="001649D8">
      <w:footerReference w:type="default" r:id="rId6"/>
      <w:pgSz w:w="11906" w:h="16838"/>
      <w:pgMar w:top="1260" w:right="1016" w:bottom="12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145E2" w14:textId="77777777" w:rsidR="0005532B" w:rsidRDefault="0005532B">
      <w:pPr>
        <w:spacing w:after="0" w:line="240" w:lineRule="auto"/>
      </w:pPr>
      <w:r>
        <w:separator/>
      </w:r>
    </w:p>
  </w:endnote>
  <w:endnote w:type="continuationSeparator" w:id="0">
    <w:p w14:paraId="3BCE285A" w14:textId="77777777" w:rsidR="0005532B" w:rsidRDefault="00055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0F41C" w14:textId="142DF041" w:rsidR="00F31B1D" w:rsidRDefault="006E5A7C">
    <w:pPr>
      <w:jc w:val="center"/>
    </w:pPr>
    <w:r>
      <w:fldChar w:fldCharType="begin"/>
    </w:r>
    <w:r>
      <w:instrText>PAGE</w:instrText>
    </w:r>
    <w:r>
      <w:fldChar w:fldCharType="separate"/>
    </w:r>
    <w:r w:rsidR="00C138E4">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62091" w14:textId="77777777" w:rsidR="0005532B" w:rsidRDefault="0005532B">
      <w:pPr>
        <w:spacing w:after="0" w:line="240" w:lineRule="auto"/>
      </w:pPr>
      <w:r>
        <w:separator/>
      </w:r>
    </w:p>
  </w:footnote>
  <w:footnote w:type="continuationSeparator" w:id="0">
    <w:p w14:paraId="2B247CA6" w14:textId="77777777" w:rsidR="0005532B" w:rsidRDefault="000553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D72"/>
    <w:rsid w:val="000015AA"/>
    <w:rsid w:val="00041043"/>
    <w:rsid w:val="0004472E"/>
    <w:rsid w:val="0005532B"/>
    <w:rsid w:val="00062FAF"/>
    <w:rsid w:val="00064D76"/>
    <w:rsid w:val="00073096"/>
    <w:rsid w:val="000962D8"/>
    <w:rsid w:val="000B2887"/>
    <w:rsid w:val="000C0BA5"/>
    <w:rsid w:val="000C1B0F"/>
    <w:rsid w:val="000C7497"/>
    <w:rsid w:val="000D183D"/>
    <w:rsid w:val="00120093"/>
    <w:rsid w:val="00130C5A"/>
    <w:rsid w:val="00161ACE"/>
    <w:rsid w:val="001649D8"/>
    <w:rsid w:val="00187CD1"/>
    <w:rsid w:val="001A5115"/>
    <w:rsid w:val="002619B0"/>
    <w:rsid w:val="00283039"/>
    <w:rsid w:val="00295701"/>
    <w:rsid w:val="002D286F"/>
    <w:rsid w:val="002E3FE8"/>
    <w:rsid w:val="002F03BE"/>
    <w:rsid w:val="00311717"/>
    <w:rsid w:val="00376D72"/>
    <w:rsid w:val="003775E6"/>
    <w:rsid w:val="003B5FBC"/>
    <w:rsid w:val="003C7C11"/>
    <w:rsid w:val="004162DF"/>
    <w:rsid w:val="00456B70"/>
    <w:rsid w:val="004A7432"/>
    <w:rsid w:val="004C35E5"/>
    <w:rsid w:val="004D7589"/>
    <w:rsid w:val="00501B4D"/>
    <w:rsid w:val="005067B7"/>
    <w:rsid w:val="0054128F"/>
    <w:rsid w:val="00544355"/>
    <w:rsid w:val="00547F11"/>
    <w:rsid w:val="005552E9"/>
    <w:rsid w:val="00581DC2"/>
    <w:rsid w:val="005862D6"/>
    <w:rsid w:val="00592D38"/>
    <w:rsid w:val="006111AE"/>
    <w:rsid w:val="0062431C"/>
    <w:rsid w:val="00646A5C"/>
    <w:rsid w:val="00647BD7"/>
    <w:rsid w:val="00656B3B"/>
    <w:rsid w:val="006B0306"/>
    <w:rsid w:val="006E5A7C"/>
    <w:rsid w:val="006E69CE"/>
    <w:rsid w:val="007045C5"/>
    <w:rsid w:val="0071060D"/>
    <w:rsid w:val="007819FE"/>
    <w:rsid w:val="007828BA"/>
    <w:rsid w:val="00787556"/>
    <w:rsid w:val="00795075"/>
    <w:rsid w:val="007B3B5D"/>
    <w:rsid w:val="007B52FC"/>
    <w:rsid w:val="007C2226"/>
    <w:rsid w:val="007D407B"/>
    <w:rsid w:val="00803A6D"/>
    <w:rsid w:val="0089145A"/>
    <w:rsid w:val="00897A96"/>
    <w:rsid w:val="008C5F92"/>
    <w:rsid w:val="009332C3"/>
    <w:rsid w:val="009463A9"/>
    <w:rsid w:val="009930CB"/>
    <w:rsid w:val="009E7128"/>
    <w:rsid w:val="00A0798F"/>
    <w:rsid w:val="00A166DF"/>
    <w:rsid w:val="00A57571"/>
    <w:rsid w:val="00A8371E"/>
    <w:rsid w:val="00A93137"/>
    <w:rsid w:val="00A9467F"/>
    <w:rsid w:val="00AE5DD6"/>
    <w:rsid w:val="00B5358A"/>
    <w:rsid w:val="00BC424B"/>
    <w:rsid w:val="00C068A8"/>
    <w:rsid w:val="00C10193"/>
    <w:rsid w:val="00C138E4"/>
    <w:rsid w:val="00C30BF8"/>
    <w:rsid w:val="00C3389A"/>
    <w:rsid w:val="00C44228"/>
    <w:rsid w:val="00C624D8"/>
    <w:rsid w:val="00C8132F"/>
    <w:rsid w:val="00CC6445"/>
    <w:rsid w:val="00CF6E66"/>
    <w:rsid w:val="00D354B2"/>
    <w:rsid w:val="00D43633"/>
    <w:rsid w:val="00D77BC0"/>
    <w:rsid w:val="00D82B99"/>
    <w:rsid w:val="00DB1C5B"/>
    <w:rsid w:val="00DB6E3B"/>
    <w:rsid w:val="00DD3950"/>
    <w:rsid w:val="00DE20FA"/>
    <w:rsid w:val="00DE63CB"/>
    <w:rsid w:val="00DF1360"/>
    <w:rsid w:val="00E2465F"/>
    <w:rsid w:val="00E70EF7"/>
    <w:rsid w:val="00E8173A"/>
    <w:rsid w:val="00EC2F27"/>
    <w:rsid w:val="00ED7FDF"/>
    <w:rsid w:val="00EF40AC"/>
    <w:rsid w:val="00F12FD8"/>
    <w:rsid w:val="00F31B1D"/>
    <w:rsid w:val="00F77C8F"/>
    <w:rsid w:val="00FC7100"/>
    <w:rsid w:val="00FD3762"/>
    <w:rsid w:val="00FE726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F578F"/>
  <w15:chartTrackingRefBased/>
  <w15:docId w15:val="{66D99A60-1843-4861-AE55-2069D7FB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6D72"/>
    <w:pPr>
      <w:keepNext/>
      <w:keepLines/>
      <w:spacing w:before="180" w:after="120"/>
      <w:outlineLvl w:val="0"/>
    </w:pPr>
    <w:rPr>
      <w:rFonts w:asciiTheme="majorHAnsi" w:eastAsiaTheme="majorEastAsia" w:hAnsiTheme="majorHAnsi" w:cstheme="majorBidi"/>
      <w:b/>
      <w:color w:val="000000"/>
      <w:sz w:val="26"/>
      <w:szCs w:val="40"/>
    </w:rPr>
  </w:style>
  <w:style w:type="paragraph" w:styleId="Heading2">
    <w:name w:val="heading 2"/>
    <w:basedOn w:val="Normal"/>
    <w:next w:val="Normal"/>
    <w:link w:val="Heading2Char"/>
    <w:uiPriority w:val="9"/>
    <w:semiHidden/>
    <w:unhideWhenUsed/>
    <w:qFormat/>
    <w:rsid w:val="00376D72"/>
    <w:pPr>
      <w:keepNext/>
      <w:keepLines/>
      <w:spacing w:before="180" w:after="120"/>
      <w:outlineLvl w:val="1"/>
    </w:pPr>
    <w:rPr>
      <w:rFonts w:asciiTheme="majorHAnsi" w:eastAsiaTheme="majorEastAsia" w:hAnsiTheme="majorHAnsi" w:cstheme="majorBidi"/>
      <w:b/>
      <w:color w:val="000000"/>
      <w:sz w:val="26"/>
      <w:szCs w:val="32"/>
    </w:rPr>
  </w:style>
  <w:style w:type="paragraph" w:styleId="Heading3">
    <w:name w:val="heading 3"/>
    <w:basedOn w:val="Normal"/>
    <w:next w:val="Normal"/>
    <w:link w:val="Heading3Char"/>
    <w:uiPriority w:val="9"/>
    <w:semiHidden/>
    <w:unhideWhenUsed/>
    <w:qFormat/>
    <w:rsid w:val="00376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D72"/>
    <w:rPr>
      <w:rFonts w:eastAsiaTheme="majorEastAsia" w:cstheme="majorBidi"/>
      <w:color w:val="272727" w:themeColor="text1" w:themeTint="D8"/>
    </w:rPr>
  </w:style>
  <w:style w:type="paragraph" w:styleId="Title">
    <w:name w:val="Title"/>
    <w:basedOn w:val="Normal"/>
    <w:next w:val="Normal"/>
    <w:link w:val="TitleChar"/>
    <w:uiPriority w:val="10"/>
    <w:qFormat/>
    <w:rsid w:val="00376D72"/>
    <w:pPr>
      <w:keepNext/>
      <w:spacing w:after="120"/>
      <w:contextualSpacing/>
    </w:pPr>
    <w:rPr>
      <w:rFonts w:asciiTheme="majorHAnsi" w:eastAsiaTheme="majorEastAsia" w:hAnsiTheme="majorHAnsi" w:cstheme="majorBidi"/>
      <w:b/>
      <w:color w:val="000000"/>
      <w:spacing w:val="-10"/>
      <w:kern w:val="28"/>
      <w:sz w:val="26"/>
      <w:szCs w:val="56"/>
    </w:rPr>
  </w:style>
  <w:style w:type="character" w:customStyle="1" w:styleId="TitleChar">
    <w:name w:val="Title Char"/>
    <w:basedOn w:val="DefaultParagraphFont"/>
    <w:link w:val="Title"/>
    <w:uiPriority w:val="10"/>
    <w:rsid w:val="00376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D72"/>
    <w:pPr>
      <w:spacing w:before="160"/>
      <w:jc w:val="center"/>
    </w:pPr>
    <w:rPr>
      <w:i/>
      <w:iCs/>
      <w:color w:val="404040" w:themeColor="text1" w:themeTint="BF"/>
    </w:rPr>
  </w:style>
  <w:style w:type="character" w:customStyle="1" w:styleId="QuoteChar">
    <w:name w:val="Quote Char"/>
    <w:basedOn w:val="DefaultParagraphFont"/>
    <w:link w:val="Quote"/>
    <w:uiPriority w:val="29"/>
    <w:rsid w:val="00376D72"/>
    <w:rPr>
      <w:i/>
      <w:iCs/>
      <w:color w:val="404040" w:themeColor="text1" w:themeTint="BF"/>
    </w:rPr>
  </w:style>
  <w:style w:type="paragraph" w:styleId="ListParagraph">
    <w:name w:val="List Paragraph"/>
    <w:basedOn w:val="Normal"/>
    <w:uiPriority w:val="34"/>
    <w:qFormat/>
    <w:rsid w:val="00376D72"/>
    <w:pPr>
      <w:ind w:left="720"/>
      <w:contextualSpacing/>
    </w:pPr>
  </w:style>
  <w:style w:type="character" w:styleId="IntenseEmphasis">
    <w:name w:val="Intense Emphasis"/>
    <w:basedOn w:val="DefaultParagraphFont"/>
    <w:uiPriority w:val="21"/>
    <w:qFormat/>
    <w:rsid w:val="00376D72"/>
    <w:rPr>
      <w:i/>
      <w:iCs/>
      <w:color w:val="0F4761" w:themeColor="accent1" w:themeShade="BF"/>
    </w:rPr>
  </w:style>
  <w:style w:type="paragraph" w:styleId="IntenseQuote">
    <w:name w:val="Intense Quote"/>
    <w:basedOn w:val="Normal"/>
    <w:next w:val="Normal"/>
    <w:link w:val="IntenseQuoteChar"/>
    <w:uiPriority w:val="30"/>
    <w:qFormat/>
    <w:rsid w:val="00376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D72"/>
    <w:rPr>
      <w:i/>
      <w:iCs/>
      <w:color w:val="0F4761" w:themeColor="accent1" w:themeShade="BF"/>
    </w:rPr>
  </w:style>
  <w:style w:type="character" w:styleId="IntenseReference">
    <w:name w:val="Intense Reference"/>
    <w:basedOn w:val="DefaultParagraphFont"/>
    <w:uiPriority w:val="32"/>
    <w:qFormat/>
    <w:rsid w:val="00376D72"/>
    <w:rPr>
      <w:b/>
      <w:bCs/>
      <w:smallCaps/>
      <w:color w:val="0F4761" w:themeColor="accent1" w:themeShade="BF"/>
      <w:spacing w:val="5"/>
    </w:rPr>
  </w:style>
  <w:style w:type="paragraph" w:styleId="Header">
    <w:name w:val="header"/>
    <w:basedOn w:val="Normal"/>
    <w:link w:val="HeaderChar"/>
    <w:uiPriority w:val="99"/>
    <w:semiHidden/>
    <w:unhideWhenUsed/>
    <w:rsid w:val="00A079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0798F"/>
  </w:style>
  <w:style w:type="paragraph" w:styleId="Footer">
    <w:name w:val="footer"/>
    <w:basedOn w:val="Normal"/>
    <w:link w:val="FooterChar"/>
    <w:uiPriority w:val="99"/>
    <w:semiHidden/>
    <w:unhideWhenUsed/>
    <w:rsid w:val="00A079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7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5330">
      <w:bodyDiv w:val="1"/>
      <w:marLeft w:val="0"/>
      <w:marRight w:val="0"/>
      <w:marTop w:val="0"/>
      <w:marBottom w:val="0"/>
      <w:divBdr>
        <w:top w:val="none" w:sz="0" w:space="0" w:color="auto"/>
        <w:left w:val="none" w:sz="0" w:space="0" w:color="auto"/>
        <w:bottom w:val="none" w:sz="0" w:space="0" w:color="auto"/>
        <w:right w:val="none" w:sz="0" w:space="0" w:color="auto"/>
      </w:divBdr>
    </w:div>
    <w:div w:id="146557857">
      <w:bodyDiv w:val="1"/>
      <w:marLeft w:val="0"/>
      <w:marRight w:val="0"/>
      <w:marTop w:val="0"/>
      <w:marBottom w:val="0"/>
      <w:divBdr>
        <w:top w:val="none" w:sz="0" w:space="0" w:color="auto"/>
        <w:left w:val="none" w:sz="0" w:space="0" w:color="auto"/>
        <w:bottom w:val="none" w:sz="0" w:space="0" w:color="auto"/>
        <w:right w:val="none" w:sz="0" w:space="0" w:color="auto"/>
      </w:divBdr>
    </w:div>
    <w:div w:id="350034115">
      <w:bodyDiv w:val="1"/>
      <w:marLeft w:val="0"/>
      <w:marRight w:val="0"/>
      <w:marTop w:val="0"/>
      <w:marBottom w:val="0"/>
      <w:divBdr>
        <w:top w:val="none" w:sz="0" w:space="0" w:color="auto"/>
        <w:left w:val="none" w:sz="0" w:space="0" w:color="auto"/>
        <w:bottom w:val="none" w:sz="0" w:space="0" w:color="auto"/>
        <w:right w:val="none" w:sz="0" w:space="0" w:color="auto"/>
      </w:divBdr>
    </w:div>
    <w:div w:id="351686681">
      <w:bodyDiv w:val="1"/>
      <w:marLeft w:val="0"/>
      <w:marRight w:val="0"/>
      <w:marTop w:val="0"/>
      <w:marBottom w:val="0"/>
      <w:divBdr>
        <w:top w:val="none" w:sz="0" w:space="0" w:color="auto"/>
        <w:left w:val="none" w:sz="0" w:space="0" w:color="auto"/>
        <w:bottom w:val="none" w:sz="0" w:space="0" w:color="auto"/>
        <w:right w:val="none" w:sz="0" w:space="0" w:color="auto"/>
      </w:divBdr>
    </w:div>
    <w:div w:id="398096415">
      <w:bodyDiv w:val="1"/>
      <w:marLeft w:val="0"/>
      <w:marRight w:val="0"/>
      <w:marTop w:val="0"/>
      <w:marBottom w:val="0"/>
      <w:divBdr>
        <w:top w:val="none" w:sz="0" w:space="0" w:color="auto"/>
        <w:left w:val="none" w:sz="0" w:space="0" w:color="auto"/>
        <w:bottom w:val="none" w:sz="0" w:space="0" w:color="auto"/>
        <w:right w:val="none" w:sz="0" w:space="0" w:color="auto"/>
      </w:divBdr>
    </w:div>
    <w:div w:id="495805812">
      <w:bodyDiv w:val="1"/>
      <w:marLeft w:val="0"/>
      <w:marRight w:val="0"/>
      <w:marTop w:val="0"/>
      <w:marBottom w:val="0"/>
      <w:divBdr>
        <w:top w:val="none" w:sz="0" w:space="0" w:color="auto"/>
        <w:left w:val="none" w:sz="0" w:space="0" w:color="auto"/>
        <w:bottom w:val="none" w:sz="0" w:space="0" w:color="auto"/>
        <w:right w:val="none" w:sz="0" w:space="0" w:color="auto"/>
      </w:divBdr>
    </w:div>
    <w:div w:id="789475936">
      <w:bodyDiv w:val="1"/>
      <w:marLeft w:val="0"/>
      <w:marRight w:val="0"/>
      <w:marTop w:val="0"/>
      <w:marBottom w:val="0"/>
      <w:divBdr>
        <w:top w:val="none" w:sz="0" w:space="0" w:color="auto"/>
        <w:left w:val="none" w:sz="0" w:space="0" w:color="auto"/>
        <w:bottom w:val="none" w:sz="0" w:space="0" w:color="auto"/>
        <w:right w:val="none" w:sz="0" w:space="0" w:color="auto"/>
      </w:divBdr>
    </w:div>
    <w:div w:id="838812574">
      <w:bodyDiv w:val="1"/>
      <w:marLeft w:val="0"/>
      <w:marRight w:val="0"/>
      <w:marTop w:val="0"/>
      <w:marBottom w:val="0"/>
      <w:divBdr>
        <w:top w:val="none" w:sz="0" w:space="0" w:color="auto"/>
        <w:left w:val="none" w:sz="0" w:space="0" w:color="auto"/>
        <w:bottom w:val="none" w:sz="0" w:space="0" w:color="auto"/>
        <w:right w:val="none" w:sz="0" w:space="0" w:color="auto"/>
      </w:divBdr>
    </w:div>
    <w:div w:id="1105923496">
      <w:bodyDiv w:val="1"/>
      <w:marLeft w:val="0"/>
      <w:marRight w:val="0"/>
      <w:marTop w:val="0"/>
      <w:marBottom w:val="0"/>
      <w:divBdr>
        <w:top w:val="none" w:sz="0" w:space="0" w:color="auto"/>
        <w:left w:val="none" w:sz="0" w:space="0" w:color="auto"/>
        <w:bottom w:val="none" w:sz="0" w:space="0" w:color="auto"/>
        <w:right w:val="none" w:sz="0" w:space="0" w:color="auto"/>
      </w:divBdr>
    </w:div>
    <w:div w:id="1112701293">
      <w:bodyDiv w:val="1"/>
      <w:marLeft w:val="0"/>
      <w:marRight w:val="0"/>
      <w:marTop w:val="0"/>
      <w:marBottom w:val="0"/>
      <w:divBdr>
        <w:top w:val="none" w:sz="0" w:space="0" w:color="auto"/>
        <w:left w:val="none" w:sz="0" w:space="0" w:color="auto"/>
        <w:bottom w:val="none" w:sz="0" w:space="0" w:color="auto"/>
        <w:right w:val="none" w:sz="0" w:space="0" w:color="auto"/>
      </w:divBdr>
    </w:div>
    <w:div w:id="1131174515">
      <w:bodyDiv w:val="1"/>
      <w:marLeft w:val="0"/>
      <w:marRight w:val="0"/>
      <w:marTop w:val="0"/>
      <w:marBottom w:val="0"/>
      <w:divBdr>
        <w:top w:val="none" w:sz="0" w:space="0" w:color="auto"/>
        <w:left w:val="none" w:sz="0" w:space="0" w:color="auto"/>
        <w:bottom w:val="none" w:sz="0" w:space="0" w:color="auto"/>
        <w:right w:val="none" w:sz="0" w:space="0" w:color="auto"/>
      </w:divBdr>
    </w:div>
    <w:div w:id="1148402951">
      <w:bodyDiv w:val="1"/>
      <w:marLeft w:val="0"/>
      <w:marRight w:val="0"/>
      <w:marTop w:val="0"/>
      <w:marBottom w:val="0"/>
      <w:divBdr>
        <w:top w:val="none" w:sz="0" w:space="0" w:color="auto"/>
        <w:left w:val="none" w:sz="0" w:space="0" w:color="auto"/>
        <w:bottom w:val="none" w:sz="0" w:space="0" w:color="auto"/>
        <w:right w:val="none" w:sz="0" w:space="0" w:color="auto"/>
      </w:divBdr>
    </w:div>
    <w:div w:id="1163549642">
      <w:bodyDiv w:val="1"/>
      <w:marLeft w:val="0"/>
      <w:marRight w:val="0"/>
      <w:marTop w:val="0"/>
      <w:marBottom w:val="0"/>
      <w:divBdr>
        <w:top w:val="none" w:sz="0" w:space="0" w:color="auto"/>
        <w:left w:val="none" w:sz="0" w:space="0" w:color="auto"/>
        <w:bottom w:val="none" w:sz="0" w:space="0" w:color="auto"/>
        <w:right w:val="none" w:sz="0" w:space="0" w:color="auto"/>
      </w:divBdr>
    </w:div>
    <w:div w:id="1366099701">
      <w:bodyDiv w:val="1"/>
      <w:marLeft w:val="0"/>
      <w:marRight w:val="0"/>
      <w:marTop w:val="0"/>
      <w:marBottom w:val="0"/>
      <w:divBdr>
        <w:top w:val="none" w:sz="0" w:space="0" w:color="auto"/>
        <w:left w:val="none" w:sz="0" w:space="0" w:color="auto"/>
        <w:bottom w:val="none" w:sz="0" w:space="0" w:color="auto"/>
        <w:right w:val="none" w:sz="0" w:space="0" w:color="auto"/>
      </w:divBdr>
    </w:div>
    <w:div w:id="1434131695">
      <w:bodyDiv w:val="1"/>
      <w:marLeft w:val="0"/>
      <w:marRight w:val="0"/>
      <w:marTop w:val="0"/>
      <w:marBottom w:val="0"/>
      <w:divBdr>
        <w:top w:val="none" w:sz="0" w:space="0" w:color="auto"/>
        <w:left w:val="none" w:sz="0" w:space="0" w:color="auto"/>
        <w:bottom w:val="none" w:sz="0" w:space="0" w:color="auto"/>
        <w:right w:val="none" w:sz="0" w:space="0" w:color="auto"/>
      </w:divBdr>
    </w:div>
    <w:div w:id="1491290270">
      <w:bodyDiv w:val="1"/>
      <w:marLeft w:val="0"/>
      <w:marRight w:val="0"/>
      <w:marTop w:val="0"/>
      <w:marBottom w:val="0"/>
      <w:divBdr>
        <w:top w:val="none" w:sz="0" w:space="0" w:color="auto"/>
        <w:left w:val="none" w:sz="0" w:space="0" w:color="auto"/>
        <w:bottom w:val="none" w:sz="0" w:space="0" w:color="auto"/>
        <w:right w:val="none" w:sz="0" w:space="0" w:color="auto"/>
      </w:divBdr>
    </w:div>
    <w:div w:id="1569993852">
      <w:bodyDiv w:val="1"/>
      <w:marLeft w:val="0"/>
      <w:marRight w:val="0"/>
      <w:marTop w:val="0"/>
      <w:marBottom w:val="0"/>
      <w:divBdr>
        <w:top w:val="none" w:sz="0" w:space="0" w:color="auto"/>
        <w:left w:val="none" w:sz="0" w:space="0" w:color="auto"/>
        <w:bottom w:val="none" w:sz="0" w:space="0" w:color="auto"/>
        <w:right w:val="none" w:sz="0" w:space="0" w:color="auto"/>
      </w:divBdr>
    </w:div>
    <w:div w:id="1574700221">
      <w:bodyDiv w:val="1"/>
      <w:marLeft w:val="0"/>
      <w:marRight w:val="0"/>
      <w:marTop w:val="0"/>
      <w:marBottom w:val="0"/>
      <w:divBdr>
        <w:top w:val="none" w:sz="0" w:space="0" w:color="auto"/>
        <w:left w:val="none" w:sz="0" w:space="0" w:color="auto"/>
        <w:bottom w:val="none" w:sz="0" w:space="0" w:color="auto"/>
        <w:right w:val="none" w:sz="0" w:space="0" w:color="auto"/>
      </w:divBdr>
    </w:div>
    <w:div w:id="1862427815">
      <w:bodyDiv w:val="1"/>
      <w:marLeft w:val="0"/>
      <w:marRight w:val="0"/>
      <w:marTop w:val="0"/>
      <w:marBottom w:val="0"/>
      <w:divBdr>
        <w:top w:val="none" w:sz="0" w:space="0" w:color="auto"/>
        <w:left w:val="none" w:sz="0" w:space="0" w:color="auto"/>
        <w:bottom w:val="none" w:sz="0" w:space="0" w:color="auto"/>
        <w:right w:val="none" w:sz="0" w:space="0" w:color="auto"/>
      </w:divBdr>
    </w:div>
    <w:div w:id="2071147737">
      <w:bodyDiv w:val="1"/>
      <w:marLeft w:val="0"/>
      <w:marRight w:val="0"/>
      <w:marTop w:val="0"/>
      <w:marBottom w:val="0"/>
      <w:divBdr>
        <w:top w:val="none" w:sz="0" w:space="0" w:color="auto"/>
        <w:left w:val="none" w:sz="0" w:space="0" w:color="auto"/>
        <w:bottom w:val="none" w:sz="0" w:space="0" w:color="auto"/>
        <w:right w:val="none" w:sz="0" w:space="0" w:color="auto"/>
      </w:divBdr>
    </w:div>
    <w:div w:id="2098206031">
      <w:bodyDiv w:val="1"/>
      <w:marLeft w:val="0"/>
      <w:marRight w:val="0"/>
      <w:marTop w:val="0"/>
      <w:marBottom w:val="0"/>
      <w:divBdr>
        <w:top w:val="none" w:sz="0" w:space="0" w:color="auto"/>
        <w:left w:val="none" w:sz="0" w:space="0" w:color="auto"/>
        <w:bottom w:val="none" w:sz="0" w:space="0" w:color="auto"/>
        <w:right w:val="none" w:sz="0" w:space="0" w:color="auto"/>
      </w:divBdr>
    </w:div>
    <w:div w:id="211401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cceda3-bb16-4686-a971-9fe5d13243fd}" enabled="1" method="Standard" siteId="{4720ed5e-c545-46eb-99a5-958dd333e9f2}"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8</Pages>
  <Words>3200</Words>
  <Characters>18241</Characters>
  <Application>Microsoft Office Word</Application>
  <DocSecurity>0</DocSecurity>
  <Lines>152</Lines>
  <Paragraphs>42</Paragraphs>
  <ScaleCrop>false</ScaleCrop>
  <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Tran</dc:creator>
  <cp:keywords/>
  <dc:description/>
  <cp:lastModifiedBy>TCKTVN</cp:lastModifiedBy>
  <cp:revision>9</cp:revision>
  <dcterms:created xsi:type="dcterms:W3CDTF">2026-10-20T12:02:00Z</dcterms:created>
  <dcterms:modified xsi:type="dcterms:W3CDTF">2026-10-22T09:51:00Z</dcterms:modified>
</cp:coreProperties>
</file>